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811CE" w:rsidRDefault="00E811CE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1CE" w:rsidRDefault="00E811CE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1CE" w:rsidRDefault="00E811CE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E811CE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12.09.</w:t>
      </w:r>
      <w:r w:rsidR="001353D3">
        <w:rPr>
          <w:rFonts w:ascii="Times New Roman" w:hAnsi="Times New Roman" w:cs="Times New Roman"/>
          <w:b w:val="0"/>
          <w:bCs w:val="0"/>
          <w:sz w:val="24"/>
          <w:szCs w:val="24"/>
        </w:rPr>
        <w:t>2013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A645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89</w:t>
      </w:r>
    </w:p>
    <w:p w:rsidR="003560DC" w:rsidRDefault="003560DC" w:rsidP="00295E72">
      <w:pPr>
        <w:jc w:val="both"/>
      </w:pPr>
    </w:p>
    <w:p w:rsidR="00682C34" w:rsidRDefault="00C565B5" w:rsidP="00F34594">
      <w:pPr>
        <w:ind w:right="-908"/>
        <w:jc w:val="both"/>
      </w:pPr>
      <w:r>
        <w:t>О</w:t>
      </w:r>
      <w:r w:rsidR="00F34594">
        <w:t>б  отчете начальника отдела по</w:t>
      </w:r>
    </w:p>
    <w:p w:rsidR="00F34594" w:rsidRDefault="00F34594" w:rsidP="00F34594">
      <w:pPr>
        <w:ind w:right="-908"/>
        <w:jc w:val="both"/>
      </w:pPr>
      <w:r>
        <w:t>молодежной политике и спорту об</w:t>
      </w:r>
    </w:p>
    <w:p w:rsidR="00921551" w:rsidRDefault="00F34594" w:rsidP="00F34594">
      <w:pPr>
        <w:ind w:right="-908"/>
        <w:jc w:val="both"/>
      </w:pPr>
      <w:r>
        <w:t xml:space="preserve">итогах </w:t>
      </w:r>
      <w:r w:rsidR="00C76A8F">
        <w:t>деятель</w:t>
      </w:r>
      <w:r>
        <w:t>ности за 6</w:t>
      </w:r>
      <w:r w:rsidR="00534E4F">
        <w:t xml:space="preserve"> месяцев </w:t>
      </w:r>
      <w:r>
        <w:t xml:space="preserve">2013 </w:t>
      </w:r>
      <w:r w:rsidR="00C76A8F">
        <w:t>г</w:t>
      </w:r>
      <w:r>
        <w:t>.</w:t>
      </w:r>
    </w:p>
    <w:p w:rsidR="00295E72" w:rsidRDefault="00295E72" w:rsidP="00F34594">
      <w:pPr>
        <w:jc w:val="both"/>
      </w:pPr>
    </w:p>
    <w:p w:rsidR="00682C34" w:rsidRDefault="00682C34" w:rsidP="00295E72"/>
    <w:p w:rsidR="00682C34" w:rsidRPr="0022733E" w:rsidRDefault="00682C34" w:rsidP="00295E72"/>
    <w:p w:rsidR="00295E72" w:rsidRDefault="00C565B5" w:rsidP="00F34594">
      <w:pPr>
        <w:ind w:right="-286"/>
        <w:jc w:val="both"/>
      </w:pPr>
      <w:r>
        <w:t>Заслушав и обсудив</w:t>
      </w:r>
      <w:r w:rsidR="00682C34" w:rsidRPr="00682C34">
        <w:t xml:space="preserve"> </w:t>
      </w:r>
      <w:r w:rsidR="00682C34">
        <w:t>отчет начальника</w:t>
      </w:r>
      <w:r w:rsidR="00F34594" w:rsidRPr="00F34594">
        <w:t xml:space="preserve"> </w:t>
      </w:r>
      <w:r w:rsidR="00F34594">
        <w:t>отдела по</w:t>
      </w:r>
      <w:r w:rsidR="00F34594" w:rsidRPr="00F34594">
        <w:t xml:space="preserve"> </w:t>
      </w:r>
      <w:r w:rsidR="00F34594">
        <w:t>молодежной политике и спорту об</w:t>
      </w:r>
      <w:r w:rsidR="00F34594" w:rsidRPr="00F34594">
        <w:t xml:space="preserve"> </w:t>
      </w:r>
      <w:r w:rsidR="00F34594">
        <w:t>итогах деятельности за 6 месяцев 2013 г</w:t>
      </w:r>
      <w:r w:rsidR="00C76A8F">
        <w:t>.</w:t>
      </w:r>
      <w:r w:rsidR="00682C34">
        <w:t>,</w:t>
      </w:r>
      <w:r w:rsidR="00F074BE" w:rsidRPr="0022733E">
        <w:t xml:space="preserve"> </w:t>
      </w:r>
      <w:r w:rsidR="002B3044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F47952">
        <w:t xml:space="preserve"> </w:t>
      </w:r>
      <w:r w:rsidR="002B3044">
        <w:t>Дума города Бодайбо и района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D80057" w:rsidRDefault="00D80057" w:rsidP="00B86352">
      <w:pPr>
        <w:ind w:firstLine="540"/>
        <w:jc w:val="both"/>
        <w:rPr>
          <w:b/>
          <w:bCs/>
        </w:rPr>
      </w:pPr>
    </w:p>
    <w:p w:rsidR="00C565B5" w:rsidRDefault="00D279A5" w:rsidP="00682C34">
      <w:pPr>
        <w:tabs>
          <w:tab w:val="left" w:pos="900"/>
        </w:tabs>
        <w:ind w:right="-83"/>
        <w:jc w:val="both"/>
      </w:pPr>
      <w:r>
        <w:t>1.</w:t>
      </w:r>
      <w:r w:rsidR="00682C34">
        <w:t xml:space="preserve"> Отчет начальника</w:t>
      </w:r>
      <w:r w:rsidR="00F34594" w:rsidRPr="00F34594">
        <w:t xml:space="preserve"> </w:t>
      </w:r>
      <w:r w:rsidR="00F34594">
        <w:t>отдела по</w:t>
      </w:r>
      <w:r w:rsidR="00F34594" w:rsidRPr="00F34594">
        <w:t xml:space="preserve"> </w:t>
      </w:r>
      <w:r w:rsidR="00F34594">
        <w:t>молодежной политике и спорту об</w:t>
      </w:r>
      <w:r w:rsidR="00F34594" w:rsidRPr="00F34594">
        <w:t xml:space="preserve"> </w:t>
      </w:r>
      <w:r w:rsidR="00F34594">
        <w:t>итогах деятельности за 6 месяцев 2013 г.,</w:t>
      </w:r>
      <w:r w:rsidR="00F34594" w:rsidRPr="0022733E">
        <w:t xml:space="preserve"> </w:t>
      </w:r>
      <w:r w:rsidR="00682C34">
        <w:t xml:space="preserve"> </w:t>
      </w:r>
      <w:r w:rsidR="00C565B5">
        <w:t>принять к сведению.</w:t>
      </w:r>
    </w:p>
    <w:p w:rsidR="00682C34" w:rsidRDefault="00682C34" w:rsidP="0087359A">
      <w:pPr>
        <w:ind w:right="-83"/>
        <w:jc w:val="both"/>
      </w:pPr>
    </w:p>
    <w:p w:rsidR="00682C34" w:rsidRDefault="00682C34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E811CE" w:rsidRDefault="00E811CE" w:rsidP="0087359A">
      <w:pPr>
        <w:ind w:right="-83"/>
        <w:jc w:val="both"/>
      </w:pPr>
    </w:p>
    <w:p w:rsidR="00E811CE" w:rsidRDefault="00E811CE" w:rsidP="0087359A">
      <w:pPr>
        <w:ind w:right="-83"/>
        <w:jc w:val="both"/>
      </w:pPr>
    </w:p>
    <w:p w:rsidR="00E811CE" w:rsidRDefault="00E811CE" w:rsidP="0087359A">
      <w:pPr>
        <w:ind w:right="-83"/>
        <w:jc w:val="both"/>
      </w:pPr>
    </w:p>
    <w:p w:rsidR="00682C34" w:rsidRPr="0022733E" w:rsidRDefault="00682C34" w:rsidP="0087359A">
      <w:pPr>
        <w:ind w:right="-83"/>
        <w:jc w:val="both"/>
      </w:pPr>
    </w:p>
    <w:p w:rsidR="00295E72" w:rsidRDefault="00682C34" w:rsidP="0089610A">
      <w:pPr>
        <w:ind w:right="-908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694742" w:rsidRPr="0022733E">
        <w:rPr>
          <w:b/>
          <w:bCs/>
        </w:rPr>
        <w:t>Председатель  Думы</w:t>
      </w:r>
      <w:r w:rsidR="0089610A">
        <w:rPr>
          <w:b/>
          <w:bCs/>
        </w:rPr>
        <w:t xml:space="preserve">                                 </w:t>
      </w:r>
      <w:r w:rsidR="00694742" w:rsidRPr="0022733E">
        <w:rPr>
          <w:b/>
          <w:bCs/>
        </w:rPr>
        <w:t xml:space="preserve">                  </w:t>
      </w:r>
      <w:r w:rsidR="00B60E44">
        <w:rPr>
          <w:b/>
          <w:bCs/>
        </w:rPr>
        <w:t xml:space="preserve"> </w:t>
      </w:r>
      <w:r w:rsidR="00694742" w:rsidRPr="0022733E">
        <w:rPr>
          <w:b/>
          <w:bCs/>
        </w:rPr>
        <w:t xml:space="preserve">        </w:t>
      </w:r>
      <w:r w:rsidR="00CA733B" w:rsidRPr="0022733E">
        <w:rPr>
          <w:b/>
          <w:bCs/>
        </w:rPr>
        <w:t xml:space="preserve">          </w:t>
      </w:r>
      <w:r w:rsidR="00694742" w:rsidRPr="0022733E">
        <w:rPr>
          <w:b/>
          <w:bCs/>
        </w:rPr>
        <w:t xml:space="preserve"> </w:t>
      </w:r>
      <w:r>
        <w:rPr>
          <w:b/>
          <w:bCs/>
        </w:rPr>
        <w:t>Е.Н. Бодяло</w:t>
      </w: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C76A8F" w:rsidRDefault="00C76A8F" w:rsidP="0089610A">
      <w:pPr>
        <w:ind w:right="-908"/>
        <w:jc w:val="both"/>
        <w:rPr>
          <w:b/>
          <w:bCs/>
        </w:rPr>
      </w:pPr>
    </w:p>
    <w:p w:rsidR="00C76A8F" w:rsidRDefault="00C76A8F" w:rsidP="0089610A">
      <w:pPr>
        <w:ind w:right="-908"/>
        <w:jc w:val="both"/>
        <w:rPr>
          <w:b/>
          <w:bCs/>
        </w:rPr>
      </w:pPr>
    </w:p>
    <w:p w:rsidR="00C76A8F" w:rsidRDefault="00C76A8F" w:rsidP="0089610A">
      <w:pPr>
        <w:ind w:right="-908"/>
        <w:jc w:val="both"/>
        <w:rPr>
          <w:b/>
          <w:bCs/>
        </w:rPr>
      </w:pPr>
    </w:p>
    <w:p w:rsidR="00E811CE" w:rsidRPr="00D20391" w:rsidRDefault="00E811CE" w:rsidP="00E811CE">
      <w:pPr>
        <w:jc w:val="center"/>
        <w:rPr>
          <w:b/>
          <w:bCs/>
          <w:sz w:val="32"/>
          <w:szCs w:val="32"/>
        </w:rPr>
      </w:pPr>
      <w:r w:rsidRPr="00D20391">
        <w:rPr>
          <w:b/>
          <w:bCs/>
          <w:sz w:val="32"/>
          <w:szCs w:val="32"/>
        </w:rPr>
        <w:t xml:space="preserve">Отчет о проделанной работе </w:t>
      </w:r>
    </w:p>
    <w:p w:rsidR="00E811CE" w:rsidRPr="00D20391" w:rsidRDefault="00E811CE" w:rsidP="00E811CE">
      <w:pPr>
        <w:jc w:val="center"/>
        <w:rPr>
          <w:b/>
          <w:bCs/>
          <w:sz w:val="32"/>
          <w:szCs w:val="32"/>
        </w:rPr>
      </w:pPr>
      <w:r w:rsidRPr="00D20391">
        <w:rPr>
          <w:b/>
          <w:bCs/>
          <w:sz w:val="32"/>
          <w:szCs w:val="32"/>
        </w:rPr>
        <w:t xml:space="preserve">отдела по молодежной политике и спорту </w:t>
      </w:r>
    </w:p>
    <w:p w:rsidR="00E811CE" w:rsidRPr="00D20391" w:rsidRDefault="00E811CE" w:rsidP="00E811CE">
      <w:pPr>
        <w:jc w:val="center"/>
        <w:rPr>
          <w:b/>
          <w:bCs/>
          <w:sz w:val="32"/>
          <w:szCs w:val="32"/>
        </w:rPr>
      </w:pPr>
      <w:r w:rsidRPr="00D20391">
        <w:rPr>
          <w:b/>
          <w:bCs/>
          <w:sz w:val="32"/>
          <w:szCs w:val="32"/>
        </w:rPr>
        <w:t>администрации г.Бодайбо и района.</w:t>
      </w:r>
    </w:p>
    <w:p w:rsidR="00E811CE" w:rsidRDefault="00E811CE" w:rsidP="00E811CE">
      <w:pPr>
        <w:rPr>
          <w:bCs/>
          <w:sz w:val="32"/>
          <w:szCs w:val="32"/>
        </w:rPr>
      </w:pPr>
    </w:p>
    <w:p w:rsidR="00E811CE" w:rsidRPr="00695C62" w:rsidRDefault="00E811CE" w:rsidP="00E811C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Отделом по </w:t>
      </w:r>
      <w:r w:rsidRPr="00695C62">
        <w:rPr>
          <w:bCs/>
          <w:sz w:val="32"/>
          <w:szCs w:val="32"/>
        </w:rPr>
        <w:t xml:space="preserve">молодежной политике и спорту </w:t>
      </w:r>
    </w:p>
    <w:p w:rsidR="00E811CE" w:rsidRDefault="00E811CE" w:rsidP="00E811CE">
      <w:pPr>
        <w:rPr>
          <w:bCs/>
          <w:sz w:val="32"/>
          <w:szCs w:val="32"/>
        </w:rPr>
      </w:pPr>
      <w:r w:rsidRPr="00695C62">
        <w:rPr>
          <w:bCs/>
          <w:sz w:val="32"/>
          <w:szCs w:val="32"/>
        </w:rPr>
        <w:t>администрации г.Бодайбо и района</w:t>
      </w:r>
      <w:r>
        <w:rPr>
          <w:bCs/>
          <w:sz w:val="32"/>
          <w:szCs w:val="32"/>
        </w:rPr>
        <w:t xml:space="preserve"> за первое полугодие проведена следующая работа:</w:t>
      </w:r>
    </w:p>
    <w:p w:rsidR="00E811CE" w:rsidRDefault="00E811CE" w:rsidP="00E811CE">
      <w:pPr>
        <w:numPr>
          <w:ilvl w:val="0"/>
          <w:numId w:val="8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Организованны 10 выездов спортсменов ДООЦ на соревнования федерального, областного, регионального уровня:</w:t>
      </w:r>
    </w:p>
    <w:p w:rsidR="00E811CE" w:rsidRDefault="00E811CE" w:rsidP="00E811CE">
      <w:pPr>
        <w:ind w:left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-приняли участие более 100 чел.(дети) и 8тренеров.</w:t>
      </w:r>
    </w:p>
    <w:p w:rsidR="00E811CE" w:rsidRDefault="00E811CE" w:rsidP="00E811CE">
      <w:pPr>
        <w:ind w:left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-израсходовано 740383,5 руб.</w:t>
      </w:r>
    </w:p>
    <w:p w:rsidR="00E811CE" w:rsidRDefault="00E811CE" w:rsidP="00E811CE">
      <w:pPr>
        <w:ind w:left="720"/>
        <w:jc w:val="both"/>
        <w:rPr>
          <w:bCs/>
          <w:sz w:val="32"/>
          <w:szCs w:val="32"/>
        </w:rPr>
      </w:pP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2. Результаты и достижения: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-Кожевникова Юлия-победитель первенства Иркутской области по настольному теннису среди девушек 1998г.р., тренер Фофанов Ю.Е.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-Команда МОУ СОШ №1 по баскетболу- победитель 24-ого традиционного турнира на призы газеты «Восточно-Сибирская Правда», тренер Куров И.Н.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-Команды</w:t>
      </w:r>
      <w:r w:rsidRPr="00E2171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ДООЦ по футболу победители и призеры традиционного турнира «Кубок Севера» в г.Усть-Куте, тренер Уколов С.В.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-Призеры соревнований по самбо в г.Тында и г.Железногорске, тренер Щербаков В.Г.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-Победитель шахматного турнира «Байкал-2013» в г.Иркутске-Прокопьев В.П., тренер ДООЦ.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3. Проведено более 30 спортивных мероприятий.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</w:t>
      </w:r>
      <w:r w:rsidRPr="000070A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Приняли участие более 700 детей и более 2000 взрослых.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Израсходовано 328290 руб.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Первенства района по культивируемым видам спорта – 6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Традиционные праздничные комплексные соревнования – 7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Традиционная легкоатлетическая эстафета посвященная Дню Победы.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Праздничные комплексные соревнования ко Дню защиты детей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Традиционный лыжный забег «Лыжня России»</w:t>
      </w:r>
    </w:p>
    <w:p w:rsidR="00E811CE" w:rsidRDefault="00E811CE" w:rsidP="00E811CE">
      <w:pPr>
        <w:jc w:val="both"/>
        <w:rPr>
          <w:bCs/>
          <w:sz w:val="32"/>
          <w:szCs w:val="32"/>
        </w:rPr>
      </w:pP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- Открытие плавательного бассейна «Металлург»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- Спартакиада школьников  Бодайбинского района (при поддержке ОМПиС)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4. Приобретено наградной атрибутики на 198336,5 руб.(совместно с Бодайбинским городским поселением)</w:t>
      </w:r>
    </w:p>
    <w:p w:rsidR="00E811CE" w:rsidRDefault="00E811CE" w:rsidP="00E811CE">
      <w:pPr>
        <w:jc w:val="both"/>
        <w:rPr>
          <w:bCs/>
          <w:sz w:val="32"/>
          <w:szCs w:val="32"/>
        </w:rPr>
      </w:pP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5. Ведется работа по увеличению материально-технической базы: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-с/з «Автомобилист» оснащен электронным информационным табло (совместно с Бодайбинским городским поселением)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по проекту «Народные инициативы» приобретены акустические системы для 3-х спортивных сооружений(лыжная база, плавательный бассейн, с/з «Автомобилист» и тренажеры в бассейн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</w:t>
      </w:r>
      <w:r w:rsidRPr="009460FF">
        <w:t xml:space="preserve"> </w:t>
      </w:r>
      <w:r>
        <w:rPr>
          <w:sz w:val="32"/>
          <w:szCs w:val="32"/>
        </w:rPr>
        <w:t>долгосрочной целевой программой</w:t>
      </w:r>
      <w:r w:rsidRPr="009460FF">
        <w:rPr>
          <w:sz w:val="32"/>
          <w:szCs w:val="32"/>
        </w:rPr>
        <w:t xml:space="preserve"> Иркутской области «Развитие физической культуры и спорта в Иркутской области» на 2011-2015годы</w:t>
      </w:r>
      <w:r>
        <w:rPr>
          <w:sz w:val="32"/>
          <w:szCs w:val="32"/>
        </w:rPr>
        <w:t xml:space="preserve"> предусмотрено приобретение многофункциональной спортивной площадки с искусственным покрытием(подготовка основания и ограждение уже произведены)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 проектирование строительства ФОКа</w:t>
      </w:r>
    </w:p>
    <w:p w:rsidR="00E811CE" w:rsidRDefault="00E811CE" w:rsidP="00E811CE">
      <w:pPr>
        <w:jc w:val="both"/>
        <w:rPr>
          <w:bCs/>
          <w:sz w:val="32"/>
          <w:szCs w:val="32"/>
        </w:rPr>
      </w:pP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6. Долгосрочной муниципальной целевой программой «Развитие физической культуры и спорта в Бодайбинском районе на 2013-2015 годы» предусмотрены 1537700 рублей, потрачено 1068673, рублей.  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7. В системе ДООЦ (Детский Оздоровительно-Образовательный Центр) функционируют бассейн, лыжная база, стадион, спорт.зал,  работает 11 тренеров, из них 7 штатных(баскетбол, волейбол, футбол, полиатлон, туризм, настольный теннис, лыжные гонки, хоккей с мячом, плавание).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Наполняемость ДООЦ примерно 600 детей.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Занимающихся из числа населения района: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-спортом примерно 1300чел., из них детей 600чел.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физической культурой примерно 3000чел., из них детей 1500чел. </w:t>
      </w:r>
    </w:p>
    <w:p w:rsidR="00E811CE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Бассейн работает без выходных, проводится 91сеанс посещений в неделю, из них 39 для населения. Работает один тренер, у которого тренируется более 100 детей.</w:t>
      </w:r>
    </w:p>
    <w:p w:rsidR="00E811CE" w:rsidRDefault="00E811CE" w:rsidP="00E811CE">
      <w:pPr>
        <w:jc w:val="both"/>
        <w:rPr>
          <w:bCs/>
          <w:sz w:val="32"/>
          <w:szCs w:val="32"/>
        </w:rPr>
      </w:pPr>
    </w:p>
    <w:p w:rsidR="00E811CE" w:rsidRPr="00695C62" w:rsidRDefault="00E811CE" w:rsidP="00E811CE">
      <w:pPr>
        <w:jc w:val="both"/>
        <w:rPr>
          <w:bCs/>
          <w:sz w:val="32"/>
          <w:szCs w:val="32"/>
        </w:rPr>
      </w:pPr>
      <w:r>
        <w:rPr>
          <w:bCs/>
          <w:sz w:val="16"/>
          <w:szCs w:val="16"/>
        </w:rPr>
        <w:t>Подготовил Гейн Н.Ю.</w:t>
      </w:r>
      <w:r>
        <w:rPr>
          <w:bCs/>
          <w:sz w:val="32"/>
          <w:szCs w:val="32"/>
        </w:rPr>
        <w:t xml:space="preserve">        </w:t>
      </w:r>
    </w:p>
    <w:p w:rsidR="00BF3C25" w:rsidRDefault="00BF3C25" w:rsidP="0089610A">
      <w:pPr>
        <w:ind w:right="-908"/>
        <w:jc w:val="both"/>
        <w:rPr>
          <w:b/>
          <w:bCs/>
        </w:rPr>
      </w:pPr>
    </w:p>
    <w:p w:rsidR="00BF3C25" w:rsidRDefault="00BF3C25" w:rsidP="0089610A">
      <w:pPr>
        <w:ind w:right="-908"/>
        <w:jc w:val="both"/>
        <w:rPr>
          <w:b/>
          <w:bCs/>
        </w:rPr>
      </w:pPr>
    </w:p>
    <w:p w:rsidR="00084A49" w:rsidRDefault="00084A49" w:rsidP="0089610A">
      <w:pPr>
        <w:ind w:right="-908"/>
        <w:jc w:val="both"/>
        <w:rPr>
          <w:b/>
          <w:bCs/>
        </w:rPr>
      </w:pPr>
    </w:p>
    <w:p w:rsidR="00084A49" w:rsidRDefault="00084A49" w:rsidP="0089610A">
      <w:pPr>
        <w:ind w:right="-908"/>
        <w:jc w:val="both"/>
        <w:rPr>
          <w:b/>
          <w:bCs/>
        </w:rPr>
      </w:pPr>
    </w:p>
    <w:p w:rsidR="00084A49" w:rsidRDefault="00084A49" w:rsidP="0089610A">
      <w:pPr>
        <w:ind w:right="-908"/>
        <w:jc w:val="both"/>
        <w:rPr>
          <w:b/>
          <w:bCs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отчетный период 2013 года проведены мероприятия по молодежной политике: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1. Январь 2013 г.-«Елка мэра» праздничный спектакль для отличников учебы, победителей творческих конкурсов, лучших воспитанников учреждений дополнительного образования. 75 человек. В том числе 15 – победители конкурса «Письмо Деду Мороза»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2. Февраль – организация мероприятия по поощрению участников школьного конкурса «КВН». 20700 рублей – приобретена музыкальная аппаратура.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3.  Март - совместно с Бодайбинской ТИК организован творческий  конкурс «Жизнь многогранна, жизнь многолика – Я выбираю…». Подготовлены видео презентации по социальной тематике. 12600 рублей – приобретены наборы для творчества (бисера плетение, гравюра и т.п.)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4. Апрель – участие в работе смены ВДЦ «Орленок» Уграк Е.. Для организации поездки израсходовано 43200 рублей.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Первый районный конкурс «Минута славы». 60750 рублей (в т.ч. аренда зала 21000 рублей). Для победителей и номинантов конкурса приобретены памятные призы и сувениры. Дополнительные призы от ООО «ЛенРэм», ООО «Росстрой», ОО «Воинов Афганистана и боевых действий в Чечне».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 С апреля по май – акция «Георгиевская ленточка». Роздано более 730 ленточек. В рамках акции совместно с волонтерами МОУ ДО ДДТ организован и проведен салон красоты для ветеранов ВОВ и тружеников тыла, воинов-интернационалистов. 4280 рублей.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Совместно с волонтерами МОУ ДО ДДТ, ООО «Росстрой» организована акция для детей-инвалидов, детей группы риска «Добрая весна».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 Совместно с МОУ ДО СЮН организован и проведен второй районный конкурс «Усы. Лапы. Хвост». 5000 рублей.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Организация поездки творческого коллектива МОУДО ДДТ на областной конкурс «Музыкальная весна». 76200 рублей. 4 человека.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Специалистами КДН и ЗП, гл. специалистом ОМП и С – организована и проведена акция «Неделя молодой мамы». 12000 рублей. 12 семей, 15 детей.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 Традиционный пробег  «Бодайбо-Апрельский».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12. Акция «Свечи памяти». 8750 рублей. Более 70 человек.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Участие в работе смены ВДЦ «Океан» Карелин Ю.. 40800 рублей.</w:t>
      </w:r>
    </w:p>
    <w:p w:rsidR="00084A49" w:rsidRDefault="00084A49" w:rsidP="00084A49">
      <w:pPr>
        <w:pStyle w:val="aa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 Участие в работе лагеря «Сибирский первопроходец». 7 человек. 112800 рублей.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15. Первый районный конкурс «Ты мое – чудо, ты – моя сказка». Парад колясок. 17080 рублей. Дополнительные призы представлены: ИП Грачева, ИП Мамедов, ИП Шапошников.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16. В рамках проведения специалистами «КСЦОН» акции «Праздник улиц», проведение мероприятий «Молодежь выбирает здоровье». 20000 рублей.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17. Проведено профилактическое мероприятие для учащихся МОУ Перевозовская СОШ.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18. В рамках Всероссийской акции «Помоги ребенку, и ты спасешь мир», проходит акция «Собери портфель». Вручены наборы первоклассникам: п. Мамакан 23 шт., п. Балахнинск – 4 шт., п. Перевоз – 12 шт., г. Бодайбо – 9 шт. 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19. Проведена первая социальная акция «Все по десять».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20.Для проведения мероприятий для детей и молодежи предусмотрены бюджетом 831000 рублей, потрачено 356023,2 рубля.     </w:t>
      </w: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32"/>
          <w:szCs w:val="32"/>
        </w:rPr>
      </w:pPr>
    </w:p>
    <w:p w:rsidR="00084A49" w:rsidRDefault="00084A49" w:rsidP="00084A49">
      <w:pPr>
        <w:pStyle w:val="a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Подготовил Роткина Н.А.</w:t>
      </w:r>
    </w:p>
    <w:p w:rsidR="00BF3C25" w:rsidRDefault="00BF3C25" w:rsidP="0089610A">
      <w:pPr>
        <w:ind w:right="-908"/>
        <w:jc w:val="both"/>
        <w:rPr>
          <w:b/>
          <w:bCs/>
        </w:rPr>
      </w:pPr>
    </w:p>
    <w:p w:rsidR="00BF3C25" w:rsidRDefault="00BF3C25" w:rsidP="0089610A">
      <w:pPr>
        <w:ind w:right="-908"/>
        <w:jc w:val="both"/>
        <w:rPr>
          <w:b/>
          <w:bCs/>
        </w:rPr>
      </w:pPr>
    </w:p>
    <w:p w:rsidR="00BF3C25" w:rsidRDefault="00BF3C25" w:rsidP="0089610A">
      <w:pPr>
        <w:ind w:right="-908"/>
        <w:jc w:val="both"/>
        <w:rPr>
          <w:b/>
          <w:bCs/>
        </w:rPr>
      </w:pPr>
    </w:p>
    <w:p w:rsidR="00BF3C25" w:rsidRDefault="00BF3C25" w:rsidP="0089610A">
      <w:pPr>
        <w:ind w:right="-908"/>
        <w:jc w:val="both"/>
        <w:rPr>
          <w:b/>
          <w:bCs/>
        </w:rPr>
      </w:pPr>
    </w:p>
    <w:sectPr w:rsidR="00BF3C25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3E881AD6"/>
    <w:multiLevelType w:val="multilevel"/>
    <w:tmpl w:val="0D501D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7F0073C7"/>
    <w:multiLevelType w:val="hybridMultilevel"/>
    <w:tmpl w:val="DC4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070AC"/>
    <w:rsid w:val="000149A1"/>
    <w:rsid w:val="000150B5"/>
    <w:rsid w:val="00053FF2"/>
    <w:rsid w:val="00080C46"/>
    <w:rsid w:val="000847BD"/>
    <w:rsid w:val="00084A49"/>
    <w:rsid w:val="00097B52"/>
    <w:rsid w:val="000E25AE"/>
    <w:rsid w:val="0011287B"/>
    <w:rsid w:val="001326F4"/>
    <w:rsid w:val="001353D3"/>
    <w:rsid w:val="00140C6A"/>
    <w:rsid w:val="00156E3F"/>
    <w:rsid w:val="001665F3"/>
    <w:rsid w:val="001B1E32"/>
    <w:rsid w:val="001C6197"/>
    <w:rsid w:val="001E0788"/>
    <w:rsid w:val="0022733E"/>
    <w:rsid w:val="002659E6"/>
    <w:rsid w:val="00295E72"/>
    <w:rsid w:val="002B3044"/>
    <w:rsid w:val="002C6CF2"/>
    <w:rsid w:val="002F65F5"/>
    <w:rsid w:val="003143BD"/>
    <w:rsid w:val="0033613A"/>
    <w:rsid w:val="003560DC"/>
    <w:rsid w:val="003A397A"/>
    <w:rsid w:val="003B037C"/>
    <w:rsid w:val="003B6454"/>
    <w:rsid w:val="003C04F0"/>
    <w:rsid w:val="003E20E2"/>
    <w:rsid w:val="003F0143"/>
    <w:rsid w:val="00406E44"/>
    <w:rsid w:val="00473F97"/>
    <w:rsid w:val="004862C8"/>
    <w:rsid w:val="004C38FB"/>
    <w:rsid w:val="004E2AF6"/>
    <w:rsid w:val="004F1D66"/>
    <w:rsid w:val="005123B2"/>
    <w:rsid w:val="005221C6"/>
    <w:rsid w:val="00530164"/>
    <w:rsid w:val="00534E4F"/>
    <w:rsid w:val="00551237"/>
    <w:rsid w:val="00565F31"/>
    <w:rsid w:val="005764CE"/>
    <w:rsid w:val="00594F80"/>
    <w:rsid w:val="005A4BCE"/>
    <w:rsid w:val="005D46BE"/>
    <w:rsid w:val="005D56B9"/>
    <w:rsid w:val="005D68FE"/>
    <w:rsid w:val="005E7081"/>
    <w:rsid w:val="006739E7"/>
    <w:rsid w:val="00682C34"/>
    <w:rsid w:val="00694742"/>
    <w:rsid w:val="00695C62"/>
    <w:rsid w:val="006B37EB"/>
    <w:rsid w:val="006B496B"/>
    <w:rsid w:val="006B5D03"/>
    <w:rsid w:val="006C41AC"/>
    <w:rsid w:val="006C67DC"/>
    <w:rsid w:val="006F155B"/>
    <w:rsid w:val="00707F28"/>
    <w:rsid w:val="0071628A"/>
    <w:rsid w:val="00745F5D"/>
    <w:rsid w:val="007468BF"/>
    <w:rsid w:val="007640C9"/>
    <w:rsid w:val="007A121D"/>
    <w:rsid w:val="007B46D2"/>
    <w:rsid w:val="007B51ED"/>
    <w:rsid w:val="007B5C54"/>
    <w:rsid w:val="007D7797"/>
    <w:rsid w:val="007E2DC0"/>
    <w:rsid w:val="00867B18"/>
    <w:rsid w:val="0087359A"/>
    <w:rsid w:val="0089610A"/>
    <w:rsid w:val="008A0190"/>
    <w:rsid w:val="008B3805"/>
    <w:rsid w:val="00906CFB"/>
    <w:rsid w:val="00921551"/>
    <w:rsid w:val="0093371B"/>
    <w:rsid w:val="009460FF"/>
    <w:rsid w:val="00957E5C"/>
    <w:rsid w:val="00960E33"/>
    <w:rsid w:val="00966BF4"/>
    <w:rsid w:val="00967790"/>
    <w:rsid w:val="00973205"/>
    <w:rsid w:val="00986943"/>
    <w:rsid w:val="00991BC5"/>
    <w:rsid w:val="00A028AD"/>
    <w:rsid w:val="00A63B92"/>
    <w:rsid w:val="00A645E7"/>
    <w:rsid w:val="00A7345F"/>
    <w:rsid w:val="00A96B42"/>
    <w:rsid w:val="00AC1458"/>
    <w:rsid w:val="00AE182B"/>
    <w:rsid w:val="00AE4C91"/>
    <w:rsid w:val="00B5174D"/>
    <w:rsid w:val="00B60E44"/>
    <w:rsid w:val="00B86352"/>
    <w:rsid w:val="00BD0E03"/>
    <w:rsid w:val="00BE3042"/>
    <w:rsid w:val="00BF3C25"/>
    <w:rsid w:val="00C17BEF"/>
    <w:rsid w:val="00C36018"/>
    <w:rsid w:val="00C37DC4"/>
    <w:rsid w:val="00C40FE7"/>
    <w:rsid w:val="00C4302C"/>
    <w:rsid w:val="00C565B5"/>
    <w:rsid w:val="00C70B9B"/>
    <w:rsid w:val="00C76A8F"/>
    <w:rsid w:val="00CA733B"/>
    <w:rsid w:val="00CC57D6"/>
    <w:rsid w:val="00CE053D"/>
    <w:rsid w:val="00CE6603"/>
    <w:rsid w:val="00D16145"/>
    <w:rsid w:val="00D163DD"/>
    <w:rsid w:val="00D20391"/>
    <w:rsid w:val="00D279A5"/>
    <w:rsid w:val="00D56C5B"/>
    <w:rsid w:val="00D80057"/>
    <w:rsid w:val="00D90648"/>
    <w:rsid w:val="00D93641"/>
    <w:rsid w:val="00DE28EF"/>
    <w:rsid w:val="00DF4B9B"/>
    <w:rsid w:val="00E01A9A"/>
    <w:rsid w:val="00E06D43"/>
    <w:rsid w:val="00E20A7D"/>
    <w:rsid w:val="00E21715"/>
    <w:rsid w:val="00E27235"/>
    <w:rsid w:val="00E32ED2"/>
    <w:rsid w:val="00E33F25"/>
    <w:rsid w:val="00E43250"/>
    <w:rsid w:val="00E55F83"/>
    <w:rsid w:val="00E811CE"/>
    <w:rsid w:val="00EA7787"/>
    <w:rsid w:val="00F035C6"/>
    <w:rsid w:val="00F056A4"/>
    <w:rsid w:val="00F074BE"/>
    <w:rsid w:val="00F34594"/>
    <w:rsid w:val="00F47952"/>
    <w:rsid w:val="00F61D51"/>
    <w:rsid w:val="00F818CA"/>
    <w:rsid w:val="00F830F1"/>
    <w:rsid w:val="00FA7753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7EA450-7B6C-4B6F-8849-56D71D7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084A49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2013-08-28T07:57:00Z</cp:lastPrinted>
  <dcterms:created xsi:type="dcterms:W3CDTF">2016-10-19T08:18:00Z</dcterms:created>
  <dcterms:modified xsi:type="dcterms:W3CDTF">2016-10-19T08:18:00Z</dcterms:modified>
</cp:coreProperties>
</file>