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4B" w:rsidRDefault="0059694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8"/>
        </w:rPr>
      </w:pPr>
    </w:p>
    <w:p w:rsidR="00115A5B" w:rsidRPr="00115A5B" w:rsidRDefault="00115A5B" w:rsidP="001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5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15A5B" w:rsidRPr="00115A5B" w:rsidRDefault="00115A5B" w:rsidP="001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5B">
        <w:rPr>
          <w:rFonts w:ascii="Times New Roman" w:hAnsi="Times New Roman" w:cs="Times New Roman"/>
          <w:b/>
          <w:sz w:val="28"/>
          <w:szCs w:val="28"/>
        </w:rPr>
        <w:t>ИРКУТСКАЯ ОБЛАСТЬ БОДАЙБИНСКИЙ РАЙОН</w:t>
      </w:r>
    </w:p>
    <w:p w:rsidR="00115A5B" w:rsidRPr="00115A5B" w:rsidRDefault="00115A5B" w:rsidP="001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A5B">
        <w:rPr>
          <w:rFonts w:ascii="Times New Roman" w:hAnsi="Times New Roman" w:cs="Times New Roman"/>
          <w:b/>
          <w:bCs/>
          <w:sz w:val="28"/>
          <w:szCs w:val="28"/>
        </w:rPr>
        <w:t>ДУМА ГОРОДА БОДАЙБО И РАЙОНА</w:t>
      </w:r>
    </w:p>
    <w:p w:rsidR="00115A5B" w:rsidRPr="00115A5B" w:rsidRDefault="00115A5B" w:rsidP="001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A5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15A5B" w:rsidRPr="00115A5B" w:rsidRDefault="00115A5B" w:rsidP="001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5A5B" w:rsidRPr="00115A5B" w:rsidTr="00BE2C3F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115A5B" w:rsidRPr="00115A5B" w:rsidRDefault="00115A5B" w:rsidP="00115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A5B">
              <w:rPr>
                <w:rFonts w:ascii="Times New Roman" w:hAnsi="Times New Roman" w:cs="Times New Roman"/>
                <w:bCs/>
                <w:sz w:val="28"/>
                <w:szCs w:val="28"/>
              </w:rPr>
              <w:t>___________2023</w:t>
            </w:r>
          </w:p>
          <w:p w:rsidR="00115A5B" w:rsidRPr="00115A5B" w:rsidRDefault="00115A5B" w:rsidP="00115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115A5B" w:rsidRPr="00115A5B" w:rsidRDefault="00115A5B" w:rsidP="00115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A5B">
              <w:rPr>
                <w:rFonts w:ascii="Times New Roman" w:hAnsi="Times New Roman" w:cs="Times New Roman"/>
                <w:bCs/>
                <w:sz w:val="28"/>
                <w:szCs w:val="28"/>
              </w:rPr>
              <w:t>Бодайбо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115A5B" w:rsidRPr="00115A5B" w:rsidRDefault="00115A5B" w:rsidP="00115A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A5B">
              <w:rPr>
                <w:rFonts w:ascii="Times New Roman" w:hAnsi="Times New Roman" w:cs="Times New Roman"/>
                <w:bCs/>
                <w:sz w:val="28"/>
                <w:szCs w:val="28"/>
              </w:rPr>
              <w:t>№ _________</w:t>
            </w:r>
          </w:p>
        </w:tc>
      </w:tr>
    </w:tbl>
    <w:p w:rsidR="00115A5B" w:rsidRPr="00115A5B" w:rsidRDefault="00115A5B" w:rsidP="0011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12"/>
      </w:tblGrid>
      <w:tr w:rsidR="00115A5B" w:rsidRPr="00115A5B" w:rsidTr="00115A5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15A5B" w:rsidRPr="00115A5B" w:rsidRDefault="00115A5B" w:rsidP="00115A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реализации программы «Пушкинская карта»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1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Бодайбо и района</w:t>
            </w:r>
          </w:p>
        </w:tc>
      </w:tr>
    </w:tbl>
    <w:p w:rsidR="0059694B" w:rsidRDefault="005969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9694B" w:rsidRPr="00115A5B" w:rsidRDefault="000112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5B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о </w:t>
      </w:r>
      <w:r w:rsidRPr="00115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«Пушкинская карта» на территории муниципального образования г. Бодайбо и района</w:t>
      </w:r>
      <w:r w:rsidRPr="00115A5B">
        <w:rPr>
          <w:rFonts w:ascii="Times New Roman" w:eastAsia="Calibri" w:hAnsi="Times New Roman" w:cs="Times New Roman"/>
          <w:sz w:val="28"/>
          <w:szCs w:val="28"/>
        </w:rPr>
        <w:t xml:space="preserve">, предоставленную Управлением культуры администрации муниципального образования г. Бодайбо </w:t>
      </w:r>
      <w:r w:rsidR="000139C4">
        <w:rPr>
          <w:rFonts w:ascii="Times New Roman" w:eastAsia="Calibri" w:hAnsi="Times New Roman" w:cs="Times New Roman"/>
          <w:sz w:val="28"/>
          <w:szCs w:val="28"/>
        </w:rPr>
        <w:t>и района, руководствуясь ст.</w:t>
      </w:r>
      <w:bookmarkStart w:id="0" w:name="_GoBack"/>
      <w:bookmarkEnd w:id="0"/>
      <w:r w:rsidRPr="00115A5B">
        <w:rPr>
          <w:rFonts w:ascii="Times New Roman" w:eastAsia="Calibri" w:hAnsi="Times New Roman" w:cs="Times New Roman"/>
          <w:sz w:val="28"/>
          <w:szCs w:val="28"/>
        </w:rPr>
        <w:t xml:space="preserve"> 23 Устава муниципального образования г. Бодайбо и района, Дума г. Бодайбо и района</w:t>
      </w:r>
    </w:p>
    <w:p w:rsidR="0059694B" w:rsidRPr="00115A5B" w:rsidRDefault="0001128B" w:rsidP="00115A5B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1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1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11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1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1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15A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94B" w:rsidRPr="00115A5B" w:rsidRDefault="0001128B" w:rsidP="00115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5B">
        <w:rPr>
          <w:rFonts w:ascii="Times New Roman" w:eastAsia="Calibri" w:hAnsi="Times New Roman" w:cs="Times New Roman"/>
          <w:sz w:val="28"/>
          <w:szCs w:val="28"/>
        </w:rPr>
        <w:t xml:space="preserve">Информацию о </w:t>
      </w:r>
      <w:r w:rsidRPr="00115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«Пушкинская карта» на территории муниципального образования г. Бодайбо и района</w:t>
      </w:r>
      <w:r w:rsidRPr="00115A5B">
        <w:rPr>
          <w:rFonts w:ascii="Times New Roman" w:hAnsi="Times New Roman" w:cs="Times New Roman"/>
          <w:sz w:val="28"/>
          <w:szCs w:val="28"/>
          <w:lang w:eastAsia="ru-RU"/>
        </w:rPr>
        <w:t>, принять к сведению.</w:t>
      </w:r>
    </w:p>
    <w:p w:rsidR="0059694B" w:rsidRDefault="0059694B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9694B" w:rsidRPr="00115A5B" w:rsidRDefault="00596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:rsidR="00115A5B" w:rsidRPr="00115A5B" w:rsidRDefault="00115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:rsidR="0059694B" w:rsidRDefault="00115A5B" w:rsidP="00115A5B">
      <w:pPr>
        <w:rPr>
          <w:rFonts w:ascii="Times New Roman" w:hAnsi="Times New Roman" w:cs="Times New Roman"/>
          <w:b/>
          <w:sz w:val="28"/>
          <w:szCs w:val="28"/>
        </w:rPr>
      </w:pPr>
      <w:r w:rsidRPr="00115A5B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  <w:r w:rsidRPr="00115A5B">
        <w:rPr>
          <w:rFonts w:ascii="Times New Roman" w:hAnsi="Times New Roman" w:cs="Times New Roman"/>
          <w:b/>
          <w:sz w:val="28"/>
          <w:szCs w:val="28"/>
        </w:rPr>
        <w:tab/>
      </w:r>
      <w:r w:rsidRPr="00115A5B">
        <w:rPr>
          <w:rFonts w:ascii="Times New Roman" w:hAnsi="Times New Roman" w:cs="Times New Roman"/>
          <w:b/>
          <w:sz w:val="28"/>
          <w:szCs w:val="28"/>
        </w:rPr>
        <w:tab/>
      </w:r>
      <w:r w:rsidRPr="00115A5B">
        <w:rPr>
          <w:rFonts w:ascii="Times New Roman" w:hAnsi="Times New Roman" w:cs="Times New Roman"/>
          <w:b/>
          <w:sz w:val="28"/>
          <w:szCs w:val="28"/>
        </w:rPr>
        <w:tab/>
      </w:r>
      <w:r w:rsidRPr="00115A5B">
        <w:rPr>
          <w:rFonts w:ascii="Times New Roman" w:hAnsi="Times New Roman" w:cs="Times New Roman"/>
          <w:b/>
          <w:sz w:val="28"/>
          <w:szCs w:val="28"/>
        </w:rPr>
        <w:tab/>
      </w:r>
      <w:r w:rsidRPr="00115A5B">
        <w:rPr>
          <w:rFonts w:ascii="Times New Roman" w:hAnsi="Times New Roman" w:cs="Times New Roman"/>
          <w:b/>
          <w:sz w:val="28"/>
          <w:szCs w:val="28"/>
        </w:rPr>
        <w:tab/>
      </w:r>
      <w:r w:rsidRPr="00115A5B">
        <w:rPr>
          <w:rFonts w:ascii="Times New Roman" w:hAnsi="Times New Roman" w:cs="Times New Roman"/>
          <w:b/>
          <w:sz w:val="28"/>
          <w:szCs w:val="28"/>
        </w:rPr>
        <w:tab/>
      </w:r>
      <w:r w:rsidRPr="00115A5B">
        <w:rPr>
          <w:rFonts w:ascii="Times New Roman" w:hAnsi="Times New Roman" w:cs="Times New Roman"/>
          <w:b/>
          <w:sz w:val="28"/>
          <w:szCs w:val="28"/>
        </w:rPr>
        <w:tab/>
        <w:t xml:space="preserve">          Е.Н. </w:t>
      </w:r>
      <w:proofErr w:type="spellStart"/>
      <w:r w:rsidRPr="00115A5B">
        <w:rPr>
          <w:rFonts w:ascii="Times New Roman" w:hAnsi="Times New Roman" w:cs="Times New Roman"/>
          <w:b/>
          <w:sz w:val="28"/>
          <w:szCs w:val="28"/>
        </w:rPr>
        <w:t>Бодяло</w:t>
      </w:r>
      <w:proofErr w:type="spellEnd"/>
    </w:p>
    <w:p w:rsidR="000139C4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p w:rsidR="000139C4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p w:rsidR="000139C4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p w:rsidR="000139C4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p w:rsidR="000139C4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p w:rsidR="000139C4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p w:rsidR="000139C4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p w:rsidR="000139C4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p w:rsidR="000139C4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p w:rsidR="000139C4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p w:rsidR="000139C4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p w:rsidR="000139C4" w:rsidRDefault="000139C4" w:rsidP="0001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Информация</w:t>
      </w:r>
    </w:p>
    <w:p w:rsidR="000139C4" w:rsidRDefault="000139C4" w:rsidP="0001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культуры администрации муниципального образования</w:t>
      </w:r>
    </w:p>
    <w:p w:rsidR="000139C4" w:rsidRDefault="000139C4" w:rsidP="0001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Бодайбо и района на Думу г. Бодайбо и района на тему</w:t>
      </w:r>
    </w:p>
    <w:p w:rsidR="000139C4" w:rsidRDefault="000139C4" w:rsidP="000139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«Реализация программы «Пушкинская карта» на территории муниципального образования г. Бодайбо и района»</w:t>
      </w:r>
    </w:p>
    <w:p w:rsidR="000139C4" w:rsidRDefault="000139C4" w:rsidP="000139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«Пушкинская карта» - совместный проект Министерства культуры РФ, Министерства цифрового развития РФ и Почта Банка, который позволяет молодым людям- гражданам Российской Федерации в возрасте от 14 до 22 лет посещать музеи, театры, выставки, концертные организации и другие учреждения культуры за государственный счет.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Своё название «Пушкинская карта» получила ввиду наибольшей узнаваемости А. С. Пушкина среди иных культурных деятелей России.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«Пушкинская карта» действует на территории всей России без ограничений.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Презентация «Пушкинской карты» состоялась 30 августа 2021 года в </w:t>
      </w:r>
      <w:hyperlink r:id="rId5" w:tooltip="Государственный музей изобразительных искусств имени А. С. Пушкина" w:history="1">
        <w:r w:rsidRPr="000139C4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Государственном музее изобразительного искусства имени Пушкина</w:t>
        </w:r>
      </w:hyperlink>
      <w:r w:rsidRPr="000139C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2021 году лимит </w:t>
      </w: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«Пушкинской карты»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составлял 3000 рублей. С 2022 года номинал каждой карты составляет 5000 рублей, из которых 2000 рублей можно потратить на приобретение билетов в кино на фильмы российского производства, либо всю сумму потратить на походы в музеи, театры, на выставки, концерты и другие культурные мероприятия. Лимит карты ежегодно пополняется в январе календарного года, остатки неиспользованных средств возвращаются в федеральный бюджет в конце декабря.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Министерством культуры Иркутской области в адрес Управления культуры администрации МО г. Бодайбо и района был направлен план продаж на 2022 год, который составил 239 426,00 рублей.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Учреждения культуры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Бодайбинского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присоединились к программе </w:t>
      </w: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«Пушкинская карта» в 2022 году. Три учреждения- МКОУ ДО «ДМШ г. Бодайбо и района», МКУ «КДЦ г. Бодайбо и района» и МКУК «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Бодайбинский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городской краеведческий музей» провели работу по подключению к программе, подготовили мероприятия и успешно реализовали билеты по программе. Так как в музыкальных школах района образовательные услуги оказываются бесплатно и музыкальные школы не являются концертными организациями, оказывающими платные услуги, руководителю музыкальной школы пришлось вносить изменения в Устав учреждения в части предоставления платных услуг.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Для организации работы по «Пушкинской карте» вышеуказанные учреждения заключили договор с ООО «Музыка и культура» на подключение модулей «Пушкинской карты» к официальным сайтам учреждений, расходы составили 18 000,00 рублей для каждого учреждения. С ПАО «Сбербанк» были заключены договоры на подключение и установку «серых» терминалов для онлайн продаж билетов по «Пушкинской карте». За предоставление услуги учреждения оплачивают ПАО «Сбербанк» 2,5% с каждого проданного билета. Физические карты у участников программы на нашей территории отсутствуют, т.к. в них нет необходимости. Все участники подключились к программе и получили виртуальные карты через приложение 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Госуслуги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Культура.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Все культурные мероприятия по программе проходят определенные этапы, прежде, чем будут представлены зрителям. На первом этапе все учреждения прошли регистрацию на портале </w:t>
      </w: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  <w:lang w:val="en-US"/>
        </w:rPr>
        <w:t>PRO</w:t>
      </w: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Культура. Следующим шагом является 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модерация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запланированного мероприятия на данном портале, при которой указывается </w:t>
      </w: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lastRenderedPageBreak/>
        <w:t xml:space="preserve">тематика мероприятия, его цель и описание. Затем региональная экспертная комиссия принимает решение. В случае, если решение комиссии положительное, необходимо пройти 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модерацию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по программе «Пушкинская карта». После выполнения всех условий мероприятие готово к показу держателям «Пушкинских карт».</w:t>
      </w:r>
    </w:p>
    <w:p w:rsidR="000139C4" w:rsidRDefault="000139C4" w:rsidP="000139C4">
      <w:pPr>
        <w:pStyle w:val="a3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В 2022 году в учреждениях культуры прошли следующие мероприятия: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- в декабре учреждения клубного типа провели КВИЗ «Мы первые» для студентов 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Бодайбинского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горного техникума. Также в декабре 2022 года были 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замодерированы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и реализованы билеты на мероприятия, которые прошли в январе 2023 года: концертная программа «Люди сибирской породы», новогодний спектакль «Как балалайка себе семью искала».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- в декабре городской краеведческий музей организовал музейные уроки «Движение вперед».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- музыкальная школа г. Бодайбо предложила в декабре зрителям музыкальную лекцию-беседу «Музыка на века».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По итогам 2022 года по программе «Пушкинская карта» было заработано средств: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- Досуговые учреждения 123 410,00 рублей;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- Музей – 7 500,00 рублей;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- Музыкальная школа – 13 060,00 рублей. Итого- 143 970,00 рублей. 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Выполнить план продаж не представилось возможным по причине не подключения к программе кинотеатра «Витим». Кинотеатр не работал с июня по декабрь 2022 года по причине проведения ремонтных работ в фойе.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План на 2023 год составляет 406 800,00 рублей.</w:t>
      </w:r>
    </w:p>
    <w:p w:rsidR="000139C4" w:rsidRDefault="000139C4" w:rsidP="000139C4">
      <w:pPr>
        <w:pStyle w:val="a3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ab/>
        <w:t>С начала года работу по организации мероприятий по «Пушкинской карте» продолжили те же учреждения что и в 2022 году.</w:t>
      </w:r>
    </w:p>
    <w:p w:rsidR="000139C4" w:rsidRDefault="000139C4" w:rsidP="000139C4">
      <w:pPr>
        <w:pStyle w:val="a3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ab/>
        <w:t>Досуговый центр г. Бодайбо в апреле провел кинолекторий «Космос далекий и близкий».</w:t>
      </w:r>
    </w:p>
    <w:p w:rsidR="000139C4" w:rsidRDefault="000139C4" w:rsidP="000139C4">
      <w:pPr>
        <w:pStyle w:val="a3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ab/>
        <w:t xml:space="preserve">Краеведческий музей в январе повторил музейный урок «Движение вперед». В феврале текущего года было предложено мероприятие «Становление Советской власти в 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Бодайбинском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районе». В рамках акции «Ночь в музее» для студентов 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Бодайбинского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горного техникума был подготовлен 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«Музейный детектив». Также в мае музей предлагает молодым посетителям обзорные экскурсии по музею и автобусные экскурсии по памятным и историческим местам города.</w:t>
      </w:r>
    </w:p>
    <w:p w:rsidR="000139C4" w:rsidRDefault="000139C4" w:rsidP="000139C4">
      <w:pPr>
        <w:pStyle w:val="a3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ab/>
        <w:t xml:space="preserve">Музыкальная школа г. Бодайбо 18 мая провела концертную программу «Как прекрасен этот мир», организованную для старшеклассников и студентов БГТ. 24 и 25 мая аналогичные концерты прошли в музыкальных школах поселках 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Балахнинском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Мамакане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.</w:t>
      </w:r>
    </w:p>
    <w:p w:rsidR="000139C4" w:rsidRDefault="000139C4" w:rsidP="000139C4">
      <w:pPr>
        <w:pStyle w:val="a3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ab/>
        <w:t>На сегодняшнюю дату учреждениями культуры в рамках участия в программе «Пушкинская карта» заработаны средства в сумме 56 313,00 рублей, из них:</w:t>
      </w:r>
    </w:p>
    <w:p w:rsidR="000139C4" w:rsidRDefault="000139C4" w:rsidP="000139C4">
      <w:pPr>
        <w:pStyle w:val="a3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ab/>
        <w:t>- Культурно-досуговый центр г. Бодайбо – 900,00 рублей;</w:t>
      </w:r>
    </w:p>
    <w:p w:rsidR="000139C4" w:rsidRDefault="000139C4" w:rsidP="000139C4">
      <w:pPr>
        <w:pStyle w:val="a3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ab/>
        <w:t>- Краеведческий музей – 12 413,00 рублей;</w:t>
      </w:r>
    </w:p>
    <w:p w:rsidR="000139C4" w:rsidRDefault="000139C4" w:rsidP="000139C4">
      <w:pPr>
        <w:pStyle w:val="a3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ab/>
        <w:t>- Музыкальная школа г. Бодайбо – 43 000,00 рублей.</w:t>
      </w:r>
    </w:p>
    <w:p w:rsidR="000139C4" w:rsidRDefault="000139C4" w:rsidP="000139C4">
      <w:pPr>
        <w:pStyle w:val="a3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ab/>
        <w:t xml:space="preserve">В мае 2023 года к программе подключилась Централизованная библиотечная система г. Бодайбо и района. В настоящее время коллектив Центральной городской библиотеки имени С. Кузнецовой готовит мероприятие к </w:t>
      </w:r>
      <w:proofErr w:type="spellStart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модерации</w:t>
      </w:r>
      <w:proofErr w:type="spellEnd"/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lastRenderedPageBreak/>
        <w:t xml:space="preserve">До настоящего времени к программе «Пушкинская карта» не подключен кинотеатр «Витим». Работа по подключению к программе и к онлайн продаже билетов на киносеансы ведется. 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Не представляется возможным подключить к программе «Пушкинская карта» учреждения культуры, расположенные в поселках района. Для этого есть объективные причины- отсутствие качественного скоростного интернета и малая численность населения в поселках.</w:t>
      </w:r>
    </w:p>
    <w:p w:rsidR="000139C4" w:rsidRDefault="000139C4" w:rsidP="000139C4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</w:p>
    <w:p w:rsidR="000139C4" w:rsidRDefault="000139C4" w:rsidP="000139C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Начальник Управления культуры                                       Е.Н. Степанова</w:t>
      </w:r>
    </w:p>
    <w:p w:rsidR="000139C4" w:rsidRDefault="000139C4" w:rsidP="000139C4">
      <w:pPr>
        <w:pStyle w:val="a3"/>
        <w:spacing w:line="276" w:lineRule="auto"/>
        <w:jc w:val="both"/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</w:pPr>
    </w:p>
    <w:p w:rsidR="000139C4" w:rsidRDefault="000139C4" w:rsidP="000139C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Подготовил заместитель начальника В.В. </w:t>
      </w:r>
      <w:proofErr w:type="spellStart"/>
      <w:r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Ярковая</w:t>
      </w:r>
      <w:proofErr w:type="spellEnd"/>
    </w:p>
    <w:p w:rsidR="000139C4" w:rsidRPr="00115A5B" w:rsidRDefault="000139C4" w:rsidP="00115A5B">
      <w:pPr>
        <w:rPr>
          <w:rFonts w:ascii="Times New Roman" w:hAnsi="Times New Roman" w:cs="Times New Roman"/>
          <w:b/>
          <w:sz w:val="28"/>
          <w:szCs w:val="28"/>
        </w:rPr>
      </w:pPr>
    </w:p>
    <w:sectPr w:rsidR="000139C4" w:rsidRPr="00115A5B" w:rsidSect="0001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444"/>
    <w:multiLevelType w:val="hybridMultilevel"/>
    <w:tmpl w:val="41C21E76"/>
    <w:lvl w:ilvl="0" w:tplc="3108850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E1086C"/>
    <w:multiLevelType w:val="hybridMultilevel"/>
    <w:tmpl w:val="1DB62890"/>
    <w:lvl w:ilvl="0" w:tplc="5622E7E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4B"/>
    <w:rsid w:val="0001128B"/>
    <w:rsid w:val="000139C4"/>
    <w:rsid w:val="00115A5B"/>
    <w:rsid w:val="005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6EC3"/>
  <w15:chartTrackingRefBased/>
  <w15:docId w15:val="{8C1C4008-F662-48CE-BA9D-88B7F060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39"/>
    <w:rsid w:val="0011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13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0%BE%D1%81%D1%83%D0%B4%D0%B0%D1%80%D1%81%D1%82%D0%B2%D0%B5%D0%BD%D0%BD%D1%8B%D0%B9_%D0%BC%D1%83%D0%B7%D0%B5%D0%B9_%D0%B8%D0%B7%D0%BE%D0%B1%D1%80%D0%B0%D0%B7%D0%B8%D1%82%D0%B5%D0%BB%D1%8C%D0%BD%D1%8B%D1%85_%D0%B8%D1%81%D0%BA%D1%83%D1%81%D1%81%D1%82%D0%B2_%D0%B8%D0%BC%D0%B5%D0%BD%D0%B8_%D0%90._%D0%A1._%D0%9F%D1%83%D1%88%D0%BA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Ярковая Виктория Владимировна</dc:creator>
  <cp:keywords/>
  <dc:description/>
  <cp:lastModifiedBy>Харитонова Виктория Геннадьев</cp:lastModifiedBy>
  <cp:revision>5</cp:revision>
  <cp:lastPrinted>2021-02-02T03:04:00Z</cp:lastPrinted>
  <dcterms:created xsi:type="dcterms:W3CDTF">2023-05-24T08:12:00Z</dcterms:created>
  <dcterms:modified xsi:type="dcterms:W3CDTF">2023-05-26T05:14:00Z</dcterms:modified>
</cp:coreProperties>
</file>