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47" w:rsidRDefault="00720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Информация</w:t>
      </w:r>
    </w:p>
    <w:p w:rsidR="00F94547" w:rsidRDefault="00720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начальника Управления культуры администрации муниципального образования г. Бодайбо и района на Думу г. Бодайбо и района:</w:t>
      </w:r>
    </w:p>
    <w:p w:rsidR="00F94547" w:rsidRDefault="00720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деятельности</w:t>
      </w:r>
      <w:r>
        <w:rPr>
          <w:rFonts w:ascii="Times New Roman" w:eastAsia="Calibri" w:hAnsi="Times New Roman" w:cs="Times New Roman"/>
          <w:b/>
          <w:sz w:val="26"/>
          <w:szCs w:val="26"/>
        </w:rPr>
        <w:t>Муниципального казенного учреждения культуры «</w:t>
      </w:r>
      <w:r>
        <w:rPr>
          <w:rFonts w:ascii="Times New Roman" w:eastAsia="Times New Roman" w:hAnsi="Times New Roman" w:cs="Times New Roman"/>
          <w:b/>
          <w:sz w:val="28"/>
          <w:szCs w:val="28"/>
          <w:lang w:eastAsia="ru-RU"/>
        </w:rPr>
        <w:t>Бодайбинский городской краеведческий музей</w:t>
      </w:r>
    </w:p>
    <w:p w:rsidR="00F94547" w:rsidRDefault="00720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имени В.Ф. Верещагина» </w:t>
      </w:r>
    </w:p>
    <w:p w:rsidR="00F94547" w:rsidRDefault="00720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2019-2021 годы, планы и перспективы работы»</w:t>
      </w:r>
    </w:p>
    <w:p w:rsidR="00F94547" w:rsidRDefault="00F94547">
      <w:pPr>
        <w:spacing w:after="0" w:line="240" w:lineRule="auto"/>
        <w:jc w:val="center"/>
        <w:rPr>
          <w:rFonts w:ascii="Times New Roman" w:eastAsia="Times New Roman" w:hAnsi="Times New Roman" w:cs="Times New Roman"/>
          <w:b/>
          <w:sz w:val="28"/>
          <w:szCs w:val="28"/>
          <w:lang w:eastAsia="ru-RU"/>
        </w:rPr>
      </w:pPr>
    </w:p>
    <w:p w:rsidR="00F94547" w:rsidRDefault="00F94547">
      <w:pPr>
        <w:spacing w:after="0" w:line="240" w:lineRule="auto"/>
        <w:rPr>
          <w:rFonts w:ascii="Times New Roman" w:eastAsia="SimSun" w:hAnsi="Times New Roman" w:cs="Times New Roman"/>
          <w:sz w:val="24"/>
          <w:szCs w:val="24"/>
          <w:lang w:eastAsia="zh-CN"/>
        </w:rPr>
      </w:pP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Муниципальное казенное учреждение культуры «Бодайбинский городской краеведческий музей имени В.Ф. Верещагина» подведомственно Управлению культуры администрации муниципального образования г. Бодайбо и района, является юридическим лицом. Штатная численность работников музея составляет 15 человек, из которых 7 человек - основной персонал, непосредственно осуществляющий деятельность музея, 3 человека - вспомогательный персонал (смотрители, кассир), 5 человек- технический персонал.</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Основные цели работы учреждения: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выявление и собирание музейных предметов и музейных коллекций;</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изучение музейных предметов и музейных коллекций;</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сохранение музейных предметов и музейных коллекций для использования в научных, образовательных и просветительских целях;</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публикация музейных предметов и музейных коллекций.</w:t>
      </w:r>
    </w:p>
    <w:p w:rsidR="00F94547" w:rsidRDefault="00720ACF">
      <w:pPr>
        <w:spacing w:after="0" w:line="276"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Приоритетными направлениями в работе Бодайбинского городского краеведческого музея являются:       </w:t>
      </w:r>
    </w:p>
    <w:p w:rsidR="00F94547" w:rsidRDefault="00720ACF">
      <w:pPr>
        <w:spacing w:after="0" w:line="276"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1. Систематизация музейных предметов и музейных коллекций зарегистрированных в книгах поступлений основного и вспомогательного фондов;</w:t>
      </w:r>
    </w:p>
    <w:p w:rsidR="00F94547" w:rsidRDefault="00720ACF">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2. Регистрация музейных предметов и музейных коллекций основного фонда в Государственном каталоге музейного фонда РФ;</w:t>
      </w:r>
    </w:p>
    <w:p w:rsidR="00F94547" w:rsidRDefault="00720ACF">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3. Активное использования уникальной предметной среды музейной экспозиции в образовательно – просветительской деятельности;  </w:t>
      </w:r>
    </w:p>
    <w:p w:rsidR="00F94547" w:rsidRDefault="00720ACF">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4. Внедрение в работу музея информационных и коммуникационных технологий.</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b/>
          <w:sz w:val="26"/>
          <w:szCs w:val="26"/>
        </w:rPr>
        <w:t>Фондовая работа</w:t>
      </w:r>
      <w:r>
        <w:rPr>
          <w:rFonts w:ascii="Times New Roman" w:eastAsia="Calibri" w:hAnsi="Times New Roman" w:cs="Times New Roman"/>
          <w:sz w:val="26"/>
          <w:szCs w:val="26"/>
        </w:rPr>
        <w:t xml:space="preserve"> музея включает в себя приём новых поступлений, прием и выдачу экспонатов, обеспечение сохранности экспонатов, сверку, систематизацию, описание музейных предметов и музейных коллекций, контроль за соблюдением температурно-влажностного режима в залах и фондохранилище, ведение учетной документации.</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Ежегодно происходит пополнение музейных фондов, в основном благодаря жителям Бодайбинского района, передающим в дар музею интересные вещи и предметы.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Данные о пополнении фондов музея за период с 2019-2021 годы: </w:t>
      </w:r>
    </w:p>
    <w:tbl>
      <w:tblPr>
        <w:tblStyle w:val="a3"/>
        <w:tblW w:w="0" w:type="auto"/>
        <w:tblLook w:val="04A0"/>
      </w:tblPr>
      <w:tblGrid>
        <w:gridCol w:w="3115"/>
        <w:gridCol w:w="3115"/>
        <w:gridCol w:w="3115"/>
      </w:tblGrid>
      <w:tr w:rsidR="00F94547">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2019 год</w:t>
            </w:r>
          </w:p>
        </w:tc>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2020 год</w:t>
            </w:r>
          </w:p>
        </w:tc>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2021 год (на 01 октября)</w:t>
            </w:r>
          </w:p>
        </w:tc>
      </w:tr>
      <w:tr w:rsidR="00F94547">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648 предметов</w:t>
            </w:r>
          </w:p>
        </w:tc>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360 предметов</w:t>
            </w:r>
          </w:p>
        </w:tc>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367 предмет</w:t>
            </w:r>
          </w:p>
        </w:tc>
      </w:tr>
      <w:tr w:rsidR="00F94547">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33 дарителя</w:t>
            </w:r>
          </w:p>
        </w:tc>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21 даритель</w:t>
            </w:r>
          </w:p>
        </w:tc>
        <w:tc>
          <w:tcPr>
            <w:tcW w:w="3115" w:type="dxa"/>
          </w:tcPr>
          <w:p w:rsidR="00F94547" w:rsidRDefault="00720ACF">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22 дарителя</w:t>
            </w:r>
          </w:p>
        </w:tc>
      </w:tr>
    </w:tbl>
    <w:p w:rsidR="00F94547" w:rsidRDefault="00F94547">
      <w:pPr>
        <w:spacing w:after="0" w:line="276" w:lineRule="auto"/>
        <w:jc w:val="both"/>
        <w:rPr>
          <w:rFonts w:ascii="Times New Roman" w:eastAsia="Calibri" w:hAnsi="Times New Roman" w:cs="Times New Roman"/>
          <w:sz w:val="26"/>
          <w:szCs w:val="26"/>
        </w:rPr>
      </w:pPr>
    </w:p>
    <w:p w:rsidR="00F94547" w:rsidRDefault="00720ACF">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Среди новых поступлений предметы археологии, нумизматики, декоративно-прикладного искусства, живописи, предметы быта коренного населения района, посуда, домашняя утварь, предметы техники.</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За последние пять лет фонды музея пополнились на 2165 новых экспонатов и на сегодня насчитывают 17095 единиц хранения, из них:</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992"/>
        <w:gridCol w:w="993"/>
        <w:gridCol w:w="960"/>
        <w:gridCol w:w="1024"/>
        <w:gridCol w:w="992"/>
        <w:gridCol w:w="1701"/>
      </w:tblGrid>
      <w:tr w:rsidR="00F94547">
        <w:tc>
          <w:tcPr>
            <w:tcW w:w="3261"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Показатели</w:t>
            </w:r>
          </w:p>
        </w:tc>
        <w:tc>
          <w:tcPr>
            <w:tcW w:w="992"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2016 год</w:t>
            </w:r>
          </w:p>
        </w:tc>
        <w:tc>
          <w:tcPr>
            <w:tcW w:w="993"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2017 год</w:t>
            </w:r>
          </w:p>
        </w:tc>
        <w:tc>
          <w:tcPr>
            <w:tcW w:w="960"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2018 год</w:t>
            </w:r>
          </w:p>
        </w:tc>
        <w:tc>
          <w:tcPr>
            <w:tcW w:w="1024"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2019 год</w:t>
            </w:r>
          </w:p>
        </w:tc>
        <w:tc>
          <w:tcPr>
            <w:tcW w:w="992"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2020 год</w:t>
            </w:r>
          </w:p>
        </w:tc>
        <w:tc>
          <w:tcPr>
            <w:tcW w:w="1701"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2021 год (на 01 октября)</w:t>
            </w:r>
          </w:p>
        </w:tc>
      </w:tr>
      <w:tr w:rsidR="00F94547">
        <w:tc>
          <w:tcPr>
            <w:tcW w:w="3261"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Количество предметов основного фонда (ОФ) (ед.)</w:t>
            </w:r>
          </w:p>
        </w:tc>
        <w:tc>
          <w:tcPr>
            <w:tcW w:w="992"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6472</w:t>
            </w:r>
          </w:p>
        </w:tc>
        <w:tc>
          <w:tcPr>
            <w:tcW w:w="993"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6472</w:t>
            </w:r>
          </w:p>
        </w:tc>
        <w:tc>
          <w:tcPr>
            <w:tcW w:w="960"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6727</w:t>
            </w:r>
          </w:p>
        </w:tc>
        <w:tc>
          <w:tcPr>
            <w:tcW w:w="1024"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6792</w:t>
            </w:r>
          </w:p>
        </w:tc>
        <w:tc>
          <w:tcPr>
            <w:tcW w:w="992"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6898</w:t>
            </w:r>
          </w:p>
        </w:tc>
        <w:tc>
          <w:tcPr>
            <w:tcW w:w="1701"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6974</w:t>
            </w:r>
          </w:p>
        </w:tc>
      </w:tr>
      <w:tr w:rsidR="00F94547">
        <w:tc>
          <w:tcPr>
            <w:tcW w:w="3261"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предметов научно- вспомогательного фонда (НВФ) (ед.)</w:t>
            </w:r>
          </w:p>
        </w:tc>
        <w:tc>
          <w:tcPr>
            <w:tcW w:w="992"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8458</w:t>
            </w:r>
          </w:p>
        </w:tc>
        <w:tc>
          <w:tcPr>
            <w:tcW w:w="993"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8538</w:t>
            </w:r>
          </w:p>
        </w:tc>
        <w:tc>
          <w:tcPr>
            <w:tcW w:w="960"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9043</w:t>
            </w:r>
          </w:p>
        </w:tc>
        <w:tc>
          <w:tcPr>
            <w:tcW w:w="1024"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9576</w:t>
            </w:r>
          </w:p>
        </w:tc>
        <w:tc>
          <w:tcPr>
            <w:tcW w:w="992"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9830</w:t>
            </w:r>
          </w:p>
        </w:tc>
        <w:tc>
          <w:tcPr>
            <w:tcW w:w="1701"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10197</w:t>
            </w:r>
          </w:p>
        </w:tc>
      </w:tr>
      <w:tr w:rsidR="00F94547">
        <w:trPr>
          <w:trHeight w:val="605"/>
        </w:trPr>
        <w:tc>
          <w:tcPr>
            <w:tcW w:w="3261"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Всего экспонатов (</w:t>
            </w:r>
            <w:proofErr w:type="spellStart"/>
            <w:r>
              <w:rPr>
                <w:rFonts w:ascii="Times New Roman" w:eastAsia="Times New Roman" w:hAnsi="Times New Roman" w:cs="Times New Roman"/>
                <w:sz w:val="26"/>
                <w:szCs w:val="26"/>
                <w:lang w:eastAsia="ru-RU"/>
              </w:rPr>
              <w:t>ед</w:t>
            </w:r>
            <w:proofErr w:type="spellEnd"/>
            <w:r>
              <w:rPr>
                <w:rFonts w:ascii="Times New Roman" w:eastAsia="Times New Roman" w:hAnsi="Times New Roman" w:cs="Times New Roman"/>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14930</w:t>
            </w:r>
          </w:p>
          <w:p w:rsidR="00F94547" w:rsidRDefault="00F94547">
            <w:pPr>
              <w:spacing w:after="0" w:line="240" w:lineRule="auto"/>
              <w:jc w:val="center"/>
              <w:rPr>
                <w:rFonts w:ascii="Times New Roman" w:eastAsia="Times New Roman" w:hAnsi="Times New Roman" w:cs="Times New Roman"/>
                <w:b/>
                <w:sz w:val="26"/>
                <w:szCs w:val="26"/>
                <w:lang w:eastAsia="ru-RU"/>
              </w:rPr>
            </w:pPr>
          </w:p>
        </w:tc>
        <w:tc>
          <w:tcPr>
            <w:tcW w:w="993"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15010</w:t>
            </w:r>
          </w:p>
          <w:p w:rsidR="00F94547" w:rsidRDefault="00F94547">
            <w:pPr>
              <w:spacing w:after="0" w:line="240" w:lineRule="auto"/>
              <w:jc w:val="center"/>
              <w:rPr>
                <w:rFonts w:ascii="Times New Roman" w:eastAsia="Times New Roman" w:hAnsi="Times New Roman" w:cs="Times New Roman"/>
                <w:b/>
                <w:sz w:val="26"/>
                <w:szCs w:val="26"/>
                <w:lang w:eastAsia="ru-RU"/>
              </w:rPr>
            </w:pPr>
          </w:p>
        </w:tc>
        <w:tc>
          <w:tcPr>
            <w:tcW w:w="960"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15770</w:t>
            </w:r>
          </w:p>
          <w:p w:rsidR="00F94547" w:rsidRDefault="00F94547">
            <w:pPr>
              <w:spacing w:after="0" w:line="240" w:lineRule="auto"/>
              <w:jc w:val="center"/>
              <w:rPr>
                <w:rFonts w:ascii="Times New Roman" w:eastAsia="Times New Roman" w:hAnsi="Times New Roman" w:cs="Times New Roman"/>
                <w:b/>
                <w:sz w:val="26"/>
                <w:szCs w:val="26"/>
                <w:lang w:eastAsia="ru-RU"/>
              </w:rPr>
            </w:pPr>
          </w:p>
        </w:tc>
        <w:tc>
          <w:tcPr>
            <w:tcW w:w="1024"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16368</w:t>
            </w:r>
          </w:p>
          <w:p w:rsidR="00F94547" w:rsidRDefault="00F94547">
            <w:pPr>
              <w:spacing w:after="0" w:line="240" w:lineRule="auto"/>
              <w:jc w:val="center"/>
              <w:rPr>
                <w:rFonts w:ascii="Times New Roman" w:eastAsia="Times New Roman" w:hAnsi="Times New Roman" w:cs="Times New Roman"/>
                <w:b/>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16728</w:t>
            </w:r>
          </w:p>
          <w:p w:rsidR="00F94547" w:rsidRDefault="00F94547">
            <w:pPr>
              <w:spacing w:after="0" w:line="240" w:lineRule="auto"/>
              <w:jc w:val="center"/>
              <w:rPr>
                <w:rFonts w:ascii="Times New Roman" w:eastAsia="Times New Roman" w:hAnsi="Times New Roman" w:cs="Times New Roman"/>
                <w:b/>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tcPr>
          <w:p w:rsidR="00F94547" w:rsidRDefault="00720AC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17095</w:t>
            </w:r>
          </w:p>
        </w:tc>
      </w:tr>
    </w:tbl>
    <w:p w:rsidR="00F94547" w:rsidRDefault="00720ACF">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rsidR="00F94547" w:rsidRDefault="00720ACF">
      <w:pPr>
        <w:pStyle w:val="1"/>
        <w:shd w:val="clear" w:color="auto" w:fill="FFFFFF"/>
        <w:spacing w:before="0" w:after="144" w:line="315" w:lineRule="atLeast"/>
        <w:ind w:firstLine="540"/>
        <w:jc w:val="both"/>
        <w:rPr>
          <w:rFonts w:ascii="Times New Roman" w:eastAsia="Times New Roman" w:hAnsi="Times New Roman" w:cs="Times New Roman"/>
          <w:b/>
          <w:bCs/>
          <w:color w:val="auto"/>
          <w:kern w:val="36"/>
          <w:sz w:val="26"/>
          <w:szCs w:val="26"/>
          <w:lang w:eastAsia="ru-RU"/>
        </w:rPr>
      </w:pPr>
      <w:r>
        <w:rPr>
          <w:rFonts w:ascii="Times New Roman" w:eastAsia="Calibri" w:hAnsi="Times New Roman" w:cs="Times New Roman"/>
          <w:color w:val="auto"/>
          <w:sz w:val="26"/>
          <w:szCs w:val="26"/>
        </w:rPr>
        <w:t xml:space="preserve">С целью исполнения </w:t>
      </w:r>
      <w:r>
        <w:rPr>
          <w:rFonts w:ascii="Times New Roman" w:eastAsia="Times New Roman" w:hAnsi="Times New Roman" w:cs="Times New Roman"/>
          <w:bCs/>
          <w:color w:val="auto"/>
          <w:kern w:val="36"/>
          <w:sz w:val="26"/>
          <w:szCs w:val="26"/>
          <w:lang w:eastAsia="ru-RU"/>
        </w:rPr>
        <w:t>статьи 10 (Государственный каталог Музейного фонда Российской Федерации)</w:t>
      </w:r>
      <w:r>
        <w:rPr>
          <w:rFonts w:ascii="Times New Roman" w:eastAsia="Calibri" w:hAnsi="Times New Roman" w:cs="Times New Roman"/>
          <w:color w:val="auto"/>
          <w:sz w:val="26"/>
          <w:szCs w:val="26"/>
        </w:rPr>
        <w:t xml:space="preserve"> Федерального закона от 26 мая 1996 года № 54-ФЗ «О Музейном фонде Российской Федерации и музеях в Российской Федерации» с 2018 года музеем проводится работа по внесению сведений о музейных предметах и музейных коллекциях в Государственный каталог Музейного фонда Российской Федерации. По плану-графику данная работа должна быть закончена в 2025 году. На сегодня план выполняется с опережением, зарегистрирован 3031 предмет, это составляет 43% от общего объёма основного фонда.</w:t>
      </w:r>
    </w:p>
    <w:tbl>
      <w:tblPr>
        <w:tblStyle w:val="a3"/>
        <w:tblW w:w="9923" w:type="dxa"/>
        <w:tblInd w:w="-289" w:type="dxa"/>
        <w:tblLook w:val="04A0"/>
      </w:tblPr>
      <w:tblGrid>
        <w:gridCol w:w="3261"/>
        <w:gridCol w:w="2552"/>
        <w:gridCol w:w="2126"/>
        <w:gridCol w:w="1984"/>
      </w:tblGrid>
      <w:tr w:rsidR="00F94547">
        <w:tc>
          <w:tcPr>
            <w:tcW w:w="3261"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Год</w:t>
            </w:r>
          </w:p>
        </w:tc>
        <w:tc>
          <w:tcPr>
            <w:tcW w:w="2552"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2019 год</w:t>
            </w:r>
          </w:p>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 xml:space="preserve"> (ед.)</w:t>
            </w:r>
          </w:p>
        </w:tc>
        <w:tc>
          <w:tcPr>
            <w:tcW w:w="2126"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 xml:space="preserve">2020 год </w:t>
            </w:r>
          </w:p>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(ед.)</w:t>
            </w:r>
          </w:p>
        </w:tc>
        <w:tc>
          <w:tcPr>
            <w:tcW w:w="1984"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 xml:space="preserve">2021 год </w:t>
            </w:r>
          </w:p>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(ед.)</w:t>
            </w:r>
          </w:p>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(на 01 октября)</w:t>
            </w:r>
          </w:p>
        </w:tc>
      </w:tr>
      <w:tr w:rsidR="00F94547">
        <w:tc>
          <w:tcPr>
            <w:tcW w:w="3261" w:type="dxa"/>
          </w:tcPr>
          <w:p w:rsidR="00F94547" w:rsidRDefault="00720ACF">
            <w:pPr>
              <w:rPr>
                <w:rFonts w:ascii="Times New Roman" w:hAnsi="Times New Roman" w:cs="Times New Roman"/>
                <w:sz w:val="26"/>
                <w:szCs w:val="26"/>
              </w:rPr>
            </w:pPr>
            <w:r>
              <w:rPr>
                <w:rFonts w:ascii="Times New Roman" w:hAnsi="Times New Roman" w:cs="Times New Roman"/>
                <w:sz w:val="26"/>
                <w:szCs w:val="26"/>
              </w:rPr>
              <w:t>План</w:t>
            </w:r>
          </w:p>
        </w:tc>
        <w:tc>
          <w:tcPr>
            <w:tcW w:w="2552"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700</w:t>
            </w:r>
          </w:p>
        </w:tc>
        <w:tc>
          <w:tcPr>
            <w:tcW w:w="2126"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750</w:t>
            </w:r>
          </w:p>
        </w:tc>
        <w:tc>
          <w:tcPr>
            <w:tcW w:w="1984"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600</w:t>
            </w:r>
          </w:p>
        </w:tc>
      </w:tr>
      <w:tr w:rsidR="00F94547">
        <w:tc>
          <w:tcPr>
            <w:tcW w:w="3261" w:type="dxa"/>
          </w:tcPr>
          <w:p w:rsidR="00F94547" w:rsidRDefault="00720ACF">
            <w:pPr>
              <w:rPr>
                <w:rFonts w:ascii="Times New Roman" w:hAnsi="Times New Roman" w:cs="Times New Roman"/>
                <w:sz w:val="26"/>
                <w:szCs w:val="26"/>
              </w:rPr>
            </w:pPr>
            <w:r>
              <w:rPr>
                <w:rFonts w:ascii="Times New Roman" w:hAnsi="Times New Roman" w:cs="Times New Roman"/>
                <w:sz w:val="26"/>
                <w:szCs w:val="26"/>
              </w:rPr>
              <w:t>Фактическое исполнение</w:t>
            </w:r>
          </w:p>
        </w:tc>
        <w:tc>
          <w:tcPr>
            <w:tcW w:w="2552" w:type="dxa"/>
            <w:vAlign w:val="center"/>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797</w:t>
            </w:r>
          </w:p>
        </w:tc>
        <w:tc>
          <w:tcPr>
            <w:tcW w:w="2126" w:type="dxa"/>
            <w:vAlign w:val="center"/>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85</w:t>
            </w:r>
          </w:p>
        </w:tc>
        <w:tc>
          <w:tcPr>
            <w:tcW w:w="1984" w:type="dxa"/>
            <w:vAlign w:val="center"/>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756</w:t>
            </w:r>
          </w:p>
        </w:tc>
      </w:tr>
      <w:tr w:rsidR="00F94547">
        <w:tc>
          <w:tcPr>
            <w:tcW w:w="3261" w:type="dxa"/>
          </w:tcPr>
          <w:p w:rsidR="00F94547" w:rsidRDefault="00720ACF">
            <w:pPr>
              <w:rPr>
                <w:rFonts w:ascii="Times New Roman" w:hAnsi="Times New Roman" w:cs="Times New Roman"/>
                <w:sz w:val="26"/>
                <w:szCs w:val="26"/>
              </w:rPr>
            </w:pPr>
            <w:r>
              <w:rPr>
                <w:rFonts w:ascii="Times New Roman" w:hAnsi="Times New Roman" w:cs="Times New Roman"/>
                <w:sz w:val="26"/>
                <w:szCs w:val="26"/>
              </w:rPr>
              <w:t>Внеплановое внесение (новые поступления)</w:t>
            </w:r>
          </w:p>
        </w:tc>
        <w:tc>
          <w:tcPr>
            <w:tcW w:w="2552"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65</w:t>
            </w:r>
          </w:p>
        </w:tc>
        <w:tc>
          <w:tcPr>
            <w:tcW w:w="2126"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106</w:t>
            </w:r>
          </w:p>
        </w:tc>
        <w:tc>
          <w:tcPr>
            <w:tcW w:w="1984" w:type="dxa"/>
          </w:tcPr>
          <w:p w:rsidR="00F94547" w:rsidRDefault="00720ACF">
            <w:pPr>
              <w:jc w:val="center"/>
              <w:rPr>
                <w:rFonts w:ascii="Times New Roman" w:hAnsi="Times New Roman" w:cs="Times New Roman"/>
                <w:sz w:val="26"/>
                <w:szCs w:val="26"/>
              </w:rPr>
            </w:pPr>
            <w:r>
              <w:rPr>
                <w:rFonts w:ascii="Times New Roman" w:hAnsi="Times New Roman" w:cs="Times New Roman"/>
                <w:sz w:val="26"/>
                <w:szCs w:val="26"/>
              </w:rPr>
              <w:t>9</w:t>
            </w:r>
          </w:p>
        </w:tc>
      </w:tr>
    </w:tbl>
    <w:p w:rsidR="00F94547" w:rsidRDefault="00F94547">
      <w:pPr>
        <w:spacing w:after="0" w:line="276" w:lineRule="auto"/>
        <w:jc w:val="both"/>
        <w:rPr>
          <w:rFonts w:ascii="Times New Roman" w:eastAsia="Calibri" w:hAnsi="Times New Roman" w:cs="Times New Roman"/>
          <w:sz w:val="26"/>
          <w:szCs w:val="26"/>
        </w:rPr>
      </w:pPr>
    </w:p>
    <w:p w:rsidR="00F94547" w:rsidRDefault="00720ACF">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рамках документарной проверки Бодайбинского городского краеведческого музея Иркутским территориальным отделом по СФО Министерства культуры РФ был предписан ряд </w:t>
      </w:r>
      <w:r>
        <w:rPr>
          <w:rFonts w:ascii="Times New Roman" w:eastAsia="Calibri" w:hAnsi="Times New Roman" w:cs="Times New Roman"/>
          <w:b/>
          <w:sz w:val="26"/>
          <w:szCs w:val="26"/>
        </w:rPr>
        <w:t>мероприятий</w:t>
      </w:r>
      <w:r>
        <w:rPr>
          <w:rFonts w:ascii="Times New Roman" w:eastAsia="Calibri" w:hAnsi="Times New Roman" w:cs="Times New Roman"/>
          <w:sz w:val="26"/>
          <w:szCs w:val="26"/>
        </w:rPr>
        <w:t xml:space="preserve"> по соблюдению законодательства в области музейного дела, которые были </w:t>
      </w:r>
      <w:r>
        <w:rPr>
          <w:rFonts w:ascii="Times New Roman" w:eastAsia="Calibri" w:hAnsi="Times New Roman" w:cs="Times New Roman"/>
          <w:b/>
          <w:sz w:val="26"/>
          <w:szCs w:val="26"/>
        </w:rPr>
        <w:t>исполнены в срок и в полном объеме</w:t>
      </w:r>
      <w:r>
        <w:rPr>
          <w:rFonts w:ascii="Times New Roman" w:eastAsia="Calibri" w:hAnsi="Times New Roman" w:cs="Times New Roman"/>
          <w:sz w:val="26"/>
          <w:szCs w:val="26"/>
        </w:rPr>
        <w:t>:</w:t>
      </w:r>
    </w:p>
    <w:p w:rsidR="00F94547" w:rsidRDefault="00720ACF">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 Во исполнение п.50 Положения о государственных наградах Российской Федерации, утвержденное Указом Президента Российской Федерации от 07.09.2010 № 1099 музеем проведена работа по </w:t>
      </w:r>
      <w:r>
        <w:rPr>
          <w:rFonts w:ascii="Times New Roman" w:eastAsia="Calibri" w:hAnsi="Times New Roman" w:cs="Times New Roman"/>
          <w:b/>
          <w:sz w:val="26"/>
          <w:szCs w:val="26"/>
        </w:rPr>
        <w:t xml:space="preserve">получению разрешения на постоянное хранение государственных наград, </w:t>
      </w:r>
      <w:r>
        <w:rPr>
          <w:rFonts w:ascii="Times New Roman" w:eastAsia="Calibri" w:hAnsi="Times New Roman" w:cs="Times New Roman"/>
          <w:sz w:val="26"/>
          <w:szCs w:val="26"/>
        </w:rPr>
        <w:t>поступивших в музей после 1996 года. 21 декабря 2020 года на заседании комиссии при Президенте Российской Федерации по государственным наградам ходатайство Бодайбинского городского краеведческого музея было удовлетворено.</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Согласно ст.12.1 Федерального закона от 26 мая 1996 года № 54-ФЗ «О Музейном фонде Российской Федерации и музеях в Российской Федерации» проведена работа по соблюдению требований законодательства Российской Федерации при </w:t>
      </w:r>
      <w:r>
        <w:rPr>
          <w:rFonts w:ascii="Times New Roman" w:eastAsia="Calibri" w:hAnsi="Times New Roman" w:cs="Times New Roman"/>
          <w:b/>
          <w:sz w:val="26"/>
          <w:szCs w:val="26"/>
        </w:rPr>
        <w:t>хранении и использовании музейных предметов, содержащих в своем составе драгоценные металлы.</w:t>
      </w:r>
      <w:r>
        <w:rPr>
          <w:rFonts w:ascii="Times New Roman" w:eastAsia="Calibri" w:hAnsi="Times New Roman" w:cs="Times New Roman"/>
          <w:sz w:val="26"/>
          <w:szCs w:val="26"/>
        </w:rPr>
        <w:t xml:space="preserve"> В 2019 году Бодайбинский городской краеведческий музей поставлен на специальный учет в Забайкальской Государственной инспекции пробирного надзора. В 2020 году в г. Красноярске Межрегиональным управлением Федеральной пробирной палаты по Сибирскому федеральному округу проведена экспертиза предметов, хранящихся в фондах музея.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b/>
          <w:sz w:val="26"/>
          <w:szCs w:val="26"/>
        </w:rPr>
        <w:t>Экспозиционно-выставочная деятельность</w:t>
      </w:r>
      <w:r>
        <w:rPr>
          <w:rFonts w:ascii="Times New Roman" w:eastAsia="Calibri" w:hAnsi="Times New Roman" w:cs="Times New Roman"/>
          <w:sz w:val="26"/>
          <w:szCs w:val="26"/>
        </w:rPr>
        <w:t xml:space="preserve">-одно из основных направлений работы музея, является основой музейной коммуникацией и базой для реализации культурно-образовательной деятельности музея.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На протяжении двух лет в залах музея осуществляется обновление постоянных экспозиций. Большая работа проведена в рамках проекта «Военный альбом», цель которого- восстановление и сохранение исторической памяти о наших земляках - ветеранах Великой Отечественной войны.</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Проект реализовывался на протяжении 3 лет. За этот период была проделана кропотливая работа, которая включила в себя: сбор исторических материалов, записи бесед с участниками военных событий тех лет, формирование списков ветеранов Великой Отечественной войны для  Военного альбома, разработка дизайна альбома, приобретение четырех живописных портретов Героев Советского Союза, изготовленных при поддержки фонда по увековечиванию памяти Героев Советского Союза имени С.И. </w:t>
      </w:r>
      <w:proofErr w:type="spellStart"/>
      <w:r>
        <w:rPr>
          <w:rFonts w:ascii="Times New Roman" w:eastAsia="Calibri" w:hAnsi="Times New Roman" w:cs="Times New Roman"/>
          <w:sz w:val="26"/>
          <w:szCs w:val="26"/>
        </w:rPr>
        <w:t>Грицевца</w:t>
      </w:r>
      <w:proofErr w:type="spellEnd"/>
      <w:r>
        <w:rPr>
          <w:rFonts w:ascii="Times New Roman" w:eastAsia="Calibri" w:hAnsi="Times New Roman" w:cs="Times New Roman"/>
          <w:sz w:val="26"/>
          <w:szCs w:val="26"/>
        </w:rPr>
        <w:t xml:space="preserve"> в Иркутской области, подбор материала для обновления экспозиции выставочного зала Боевой славы, проведение Уроков мужества и передвижных выставок.</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Окончательным результатом проделанной работы стала обновлённая экспозиция выставочного зала Боевой славы, посвященная нашим землякам, проявившим героизм в годы Великой Отечественной войны. В новом зале размещены 5 портретов героев Советского Союза, выполненных на холсте, информационные стенды, изготовленные из композитных материалов.</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центре экспозиций занял достойное место «Военный альбом», в котором представлена информация о пятидесяти </w:t>
      </w:r>
      <w:proofErr w:type="spellStart"/>
      <w:r>
        <w:rPr>
          <w:rFonts w:ascii="Times New Roman" w:eastAsia="Calibri" w:hAnsi="Times New Roman" w:cs="Times New Roman"/>
          <w:sz w:val="26"/>
          <w:szCs w:val="26"/>
        </w:rPr>
        <w:t>ветеранах-бодайбинцах</w:t>
      </w:r>
      <w:proofErr w:type="spellEnd"/>
      <w:r>
        <w:rPr>
          <w:rFonts w:ascii="Times New Roman" w:eastAsia="Calibri" w:hAnsi="Times New Roman" w:cs="Times New Roman"/>
          <w:sz w:val="26"/>
          <w:szCs w:val="26"/>
        </w:rPr>
        <w:t xml:space="preserve"> - участниках ВОВ.</w:t>
      </w:r>
    </w:p>
    <w:p w:rsidR="00F94547" w:rsidRDefault="00720ACF">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Современный музей сложно представить без применения компьютерных, информационно-коммуникационных технологий. Их внедрение проявляется в наличии специализированного мультимедиа-оборудования, создания макетов с использованием пространственных моделей. В 2021 году крупнейшее предприятие района АО «ЗДК </w:t>
      </w:r>
      <w:proofErr w:type="spellStart"/>
      <w:r>
        <w:rPr>
          <w:rFonts w:ascii="Times New Roman" w:eastAsia="Calibri" w:hAnsi="Times New Roman" w:cs="Times New Roman"/>
          <w:sz w:val="26"/>
          <w:szCs w:val="26"/>
        </w:rPr>
        <w:t>Лензолото</w:t>
      </w:r>
      <w:proofErr w:type="spellEnd"/>
      <w:r>
        <w:rPr>
          <w:rFonts w:ascii="Times New Roman" w:eastAsia="Calibri" w:hAnsi="Times New Roman" w:cs="Times New Roman"/>
          <w:sz w:val="26"/>
          <w:szCs w:val="26"/>
        </w:rPr>
        <w:t>», в рамках празднования 100-летнего юбилея со дня образования предприятия, приобрело оборудование для экспозиции об истории своего предприятия, в которой установлены телевизионные экраны, макет карьера, информационный киоск. Продолжается работа по контент-наполнению мультимедиа на данной экспозиции.</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Также АО «Полюс </w:t>
      </w:r>
      <w:proofErr w:type="spellStart"/>
      <w:r>
        <w:rPr>
          <w:rFonts w:ascii="Times New Roman" w:eastAsia="Calibri" w:hAnsi="Times New Roman" w:cs="Times New Roman"/>
          <w:sz w:val="26"/>
          <w:szCs w:val="26"/>
        </w:rPr>
        <w:t>Вернинское</w:t>
      </w:r>
      <w:proofErr w:type="spellEnd"/>
      <w:r>
        <w:rPr>
          <w:rFonts w:ascii="Times New Roman" w:eastAsia="Calibri" w:hAnsi="Times New Roman" w:cs="Times New Roman"/>
          <w:sz w:val="26"/>
          <w:szCs w:val="26"/>
        </w:rPr>
        <w:t>» приобретено интерактивное оборудование, на котором посетителям будут демонстрироваться 3</w:t>
      </w:r>
      <w:r>
        <w:rPr>
          <w:rFonts w:ascii="Times New Roman" w:eastAsia="Calibri" w:hAnsi="Times New Roman" w:cs="Times New Roman"/>
          <w:sz w:val="26"/>
          <w:szCs w:val="26"/>
          <w:lang w:val="en-US"/>
        </w:rPr>
        <w:t>d</w:t>
      </w:r>
      <w:r>
        <w:rPr>
          <w:rFonts w:ascii="Times New Roman" w:eastAsia="Calibri" w:hAnsi="Times New Roman" w:cs="Times New Roman"/>
          <w:sz w:val="26"/>
          <w:szCs w:val="26"/>
        </w:rPr>
        <w:t xml:space="preserve"> модели современной </w:t>
      </w:r>
      <w:r>
        <w:rPr>
          <w:rFonts w:ascii="Times New Roman" w:eastAsia="Calibri" w:hAnsi="Times New Roman" w:cs="Times New Roman"/>
          <w:sz w:val="26"/>
          <w:szCs w:val="26"/>
        </w:rPr>
        <w:lastRenderedPageBreak/>
        <w:t xml:space="preserve">карьерной техники и интерактивная экскурсия по поселку </w:t>
      </w:r>
      <w:proofErr w:type="spellStart"/>
      <w:r>
        <w:rPr>
          <w:rFonts w:ascii="Times New Roman" w:eastAsia="Calibri" w:hAnsi="Times New Roman" w:cs="Times New Roman"/>
          <w:sz w:val="26"/>
          <w:szCs w:val="26"/>
        </w:rPr>
        <w:t>Вернинского</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ГОКа</w:t>
      </w:r>
      <w:proofErr w:type="spellEnd"/>
      <w:r>
        <w:rPr>
          <w:rFonts w:ascii="Times New Roman" w:eastAsia="Calibri" w:hAnsi="Times New Roman" w:cs="Times New Roman"/>
          <w:sz w:val="26"/>
          <w:szCs w:val="26"/>
        </w:rPr>
        <w:t xml:space="preserve">. Многофункциональная сенсорная панель позволит демонстрировать фильмы и ролики о предприятии.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Наряду с этим в музее постоянно были представлены стационарные выставки, в разных организациях города размещались временные передвижные выставки, тематика которых определялась календарными праздниками, событиями и знаменательными датами в истории Бодайбинского района, такие как:</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«Кровавый январь 1919 года», посвященная </w:t>
      </w:r>
      <w:proofErr w:type="spellStart"/>
      <w:r>
        <w:rPr>
          <w:rFonts w:ascii="Times New Roman" w:eastAsia="Calibri" w:hAnsi="Times New Roman" w:cs="Times New Roman"/>
          <w:sz w:val="26"/>
          <w:szCs w:val="26"/>
        </w:rPr>
        <w:t>Березнеровскому</w:t>
      </w:r>
      <w:proofErr w:type="spellEnd"/>
      <w:r>
        <w:rPr>
          <w:rFonts w:ascii="Times New Roman" w:eastAsia="Calibri" w:hAnsi="Times New Roman" w:cs="Times New Roman"/>
          <w:sz w:val="26"/>
          <w:szCs w:val="26"/>
        </w:rPr>
        <w:t xml:space="preserve"> восстанию;</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w:t>
      </w:r>
      <w:proofErr w:type="spellStart"/>
      <w:r>
        <w:rPr>
          <w:rFonts w:ascii="Times New Roman" w:eastAsia="Calibri" w:hAnsi="Times New Roman" w:cs="Times New Roman"/>
          <w:sz w:val="26"/>
          <w:szCs w:val="26"/>
        </w:rPr>
        <w:t>Время.События.Люди</w:t>
      </w:r>
      <w:proofErr w:type="spellEnd"/>
      <w:r>
        <w:rPr>
          <w:rFonts w:ascii="Times New Roman" w:eastAsia="Calibri" w:hAnsi="Times New Roman" w:cs="Times New Roman"/>
          <w:sz w:val="26"/>
          <w:szCs w:val="26"/>
        </w:rPr>
        <w:t>», посвященная 100-летию газеты «Ленский шахтер»;</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«Женский силуэт на фоне истории», посвященная </w:t>
      </w:r>
      <w:proofErr w:type="spellStart"/>
      <w:r>
        <w:rPr>
          <w:rFonts w:ascii="Times New Roman" w:eastAsia="Calibri" w:hAnsi="Times New Roman" w:cs="Times New Roman"/>
          <w:sz w:val="26"/>
          <w:szCs w:val="26"/>
        </w:rPr>
        <w:t>С.В.Кокоулиной</w:t>
      </w:r>
      <w:proofErr w:type="spellEnd"/>
      <w:r>
        <w:rPr>
          <w:rFonts w:ascii="Times New Roman" w:eastAsia="Calibri" w:hAnsi="Times New Roman" w:cs="Times New Roman"/>
          <w:sz w:val="26"/>
          <w:szCs w:val="26"/>
        </w:rPr>
        <w:t>;</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-«Школьные годы чудесные», </w:t>
      </w:r>
      <w:proofErr w:type="gramStart"/>
      <w:r>
        <w:rPr>
          <w:rFonts w:ascii="Times New Roman" w:eastAsia="Calibri" w:hAnsi="Times New Roman" w:cs="Times New Roman"/>
          <w:sz w:val="26"/>
          <w:szCs w:val="26"/>
        </w:rPr>
        <w:t>посвященная</w:t>
      </w:r>
      <w:proofErr w:type="gramEnd"/>
      <w:r>
        <w:rPr>
          <w:rFonts w:ascii="Times New Roman" w:eastAsia="Calibri" w:hAnsi="Times New Roman" w:cs="Times New Roman"/>
          <w:sz w:val="26"/>
          <w:szCs w:val="26"/>
        </w:rPr>
        <w:t xml:space="preserve"> народному образованию Бодайбинского района;</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-«Спортивные традиции района», </w:t>
      </w:r>
      <w:proofErr w:type="gramStart"/>
      <w:r>
        <w:rPr>
          <w:rFonts w:ascii="Times New Roman" w:eastAsia="Calibri" w:hAnsi="Times New Roman" w:cs="Times New Roman"/>
          <w:sz w:val="26"/>
          <w:szCs w:val="26"/>
        </w:rPr>
        <w:t>посвященная</w:t>
      </w:r>
      <w:proofErr w:type="gramEnd"/>
      <w:r>
        <w:rPr>
          <w:rFonts w:ascii="Times New Roman" w:eastAsia="Calibri" w:hAnsi="Times New Roman" w:cs="Times New Roman"/>
          <w:sz w:val="26"/>
          <w:szCs w:val="26"/>
        </w:rPr>
        <w:t xml:space="preserve"> истории спорта Бодайбинского района;</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-«Через годы, через поколенья…», </w:t>
      </w:r>
      <w:proofErr w:type="gramStart"/>
      <w:r>
        <w:rPr>
          <w:rFonts w:ascii="Times New Roman" w:eastAsia="Calibri" w:hAnsi="Times New Roman" w:cs="Times New Roman"/>
          <w:sz w:val="26"/>
          <w:szCs w:val="26"/>
        </w:rPr>
        <w:t>посвященная</w:t>
      </w:r>
      <w:proofErr w:type="gramEnd"/>
      <w:r>
        <w:rPr>
          <w:rFonts w:ascii="Times New Roman" w:eastAsia="Calibri" w:hAnsi="Times New Roman" w:cs="Times New Roman"/>
          <w:sz w:val="26"/>
          <w:szCs w:val="26"/>
        </w:rPr>
        <w:t xml:space="preserve"> 125-летию со дня образования ООО </w:t>
      </w:r>
      <w:proofErr w:type="spellStart"/>
      <w:r>
        <w:rPr>
          <w:rFonts w:ascii="Times New Roman" w:eastAsia="Calibri" w:hAnsi="Times New Roman" w:cs="Times New Roman"/>
          <w:sz w:val="26"/>
          <w:szCs w:val="26"/>
        </w:rPr>
        <w:t>ЛенРЭМ</w:t>
      </w:r>
      <w:proofErr w:type="spellEnd"/>
      <w:r>
        <w:rPr>
          <w:rFonts w:ascii="Times New Roman" w:eastAsia="Calibri" w:hAnsi="Times New Roman" w:cs="Times New Roman"/>
          <w:sz w:val="26"/>
          <w:szCs w:val="26"/>
        </w:rPr>
        <w:t>.</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Культурно-образовательная и просветительская деятельность в сфере культуры </w:t>
      </w:r>
      <w:r>
        <w:rPr>
          <w:rFonts w:ascii="Times New Roman" w:eastAsia="Calibri" w:hAnsi="Times New Roman" w:cs="Times New Roman"/>
          <w:sz w:val="26"/>
          <w:szCs w:val="26"/>
        </w:rPr>
        <w:t>– одно из наиболее интенсивно развивающихся направлений музейной работы. Она формируется как система взаимодействия музея и аудитории, включающей людей разных возрастов и профессий, находящихся в процессе так называемого «обучения в течение жизни». Спрос на информацию и образовательные услуги позволяет выстроить систему музейной коммуникации, отталкиваясь непосредственно от позиции и предпочтений посетителя, влиять на формирование у посетителей ценностного отношения к природному, историческому и культурному наследию города, региона, страны.</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Не являясь формально образовательным учреждением, музей выступает в качестве постоянного партнера учебных заведений города. Программа «Музей и дети», направленная на патриотическое, нравственное, эстетическое, экологическое просвещение и воспитание, ежегодно охватывает более 2000 участников.</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арсенале </w:t>
      </w:r>
      <w:proofErr w:type="spellStart"/>
      <w:r>
        <w:rPr>
          <w:rFonts w:ascii="Times New Roman" w:eastAsia="Calibri" w:hAnsi="Times New Roman" w:cs="Times New Roman"/>
          <w:sz w:val="26"/>
          <w:szCs w:val="26"/>
        </w:rPr>
        <w:t>Бодайбинскогогородского</w:t>
      </w:r>
      <w:proofErr w:type="spellEnd"/>
      <w:r>
        <w:rPr>
          <w:rFonts w:ascii="Times New Roman" w:eastAsia="Calibri" w:hAnsi="Times New Roman" w:cs="Times New Roman"/>
          <w:sz w:val="26"/>
          <w:szCs w:val="26"/>
        </w:rPr>
        <w:t xml:space="preserve"> краеведческого музея можно выделить различные формы работы с посетителями: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лекция;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экскурсия;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выставка (выставка-беседа, передвижная выставка);</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уроки мужества;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консультация;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краеведческие чтения;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встреча с интересным человеком;</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праздники;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театрализованное представление;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конкурс (викторина, </w:t>
      </w:r>
      <w:proofErr w:type="spellStart"/>
      <w:r>
        <w:rPr>
          <w:rFonts w:ascii="Times New Roman" w:eastAsia="Calibri" w:hAnsi="Times New Roman" w:cs="Times New Roman"/>
          <w:sz w:val="26"/>
          <w:szCs w:val="26"/>
        </w:rPr>
        <w:t>квест</w:t>
      </w:r>
      <w:proofErr w:type="spellEnd"/>
      <w:r>
        <w:rPr>
          <w:rFonts w:ascii="Times New Roman" w:eastAsia="Calibri" w:hAnsi="Times New Roman" w:cs="Times New Roman"/>
          <w:sz w:val="26"/>
          <w:szCs w:val="26"/>
        </w:rPr>
        <w:t>).</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Для взрослых посетителей регулярно проводятся мероприятия, приуроченные к праздничным и юбилейным датам и акциям, творческие выставки-встречи.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2019 году состоялись мероприятия: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«Перезвон талантов», посвященное празднованию Дня учителя;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«Назад в СССР», в рамках акции «Ночь в музее»;</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«Добрых рук творенье», открытие выставки авторской куклы, в рамках акции «Ночь искусств в музее»;</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«Не стареют душой ветераны», посвященное празднованию Дня Победы;</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-«Цветочная феерия»- закрытие районной выставки декоративно-прикладного творчества.</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2020 году в период ограничений, связанных с профилактикой распространения новой </w:t>
      </w:r>
      <w:proofErr w:type="spellStart"/>
      <w:r>
        <w:rPr>
          <w:rFonts w:ascii="Times New Roman" w:eastAsia="Calibri" w:hAnsi="Times New Roman" w:cs="Times New Roman"/>
          <w:sz w:val="26"/>
          <w:szCs w:val="26"/>
        </w:rPr>
        <w:t>коронавирусной</w:t>
      </w:r>
      <w:proofErr w:type="spellEnd"/>
      <w:r>
        <w:rPr>
          <w:rFonts w:ascii="Times New Roman" w:eastAsia="Calibri" w:hAnsi="Times New Roman" w:cs="Times New Roman"/>
          <w:sz w:val="26"/>
          <w:szCs w:val="26"/>
        </w:rPr>
        <w:t xml:space="preserve"> инфекции, многие мероприятия музея были переведены в онлайн-режим, в связи с чем показатели посещаемости значительно снизились.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5"/>
        <w:gridCol w:w="1577"/>
        <w:gridCol w:w="1275"/>
        <w:gridCol w:w="1979"/>
      </w:tblGrid>
      <w:tr w:rsidR="00F94547">
        <w:tc>
          <w:tcPr>
            <w:tcW w:w="4945" w:type="dxa"/>
            <w:shd w:val="clear" w:color="auto" w:fill="auto"/>
          </w:tcPr>
          <w:p w:rsidR="00F94547" w:rsidRDefault="00720ACF">
            <w:pPr>
              <w:tabs>
                <w:tab w:val="left" w:pos="1068"/>
                <w:tab w:val="center" w:pos="2152"/>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Показатели</w:t>
            </w:r>
          </w:p>
        </w:tc>
        <w:tc>
          <w:tcPr>
            <w:tcW w:w="1577" w:type="dxa"/>
            <w:shd w:val="clear" w:color="auto" w:fill="auto"/>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2019 год</w:t>
            </w:r>
          </w:p>
        </w:tc>
        <w:tc>
          <w:tcPr>
            <w:tcW w:w="1275" w:type="dxa"/>
            <w:shd w:val="clear" w:color="auto" w:fill="auto"/>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2020 год</w:t>
            </w:r>
          </w:p>
        </w:tc>
        <w:tc>
          <w:tcPr>
            <w:tcW w:w="1979" w:type="dxa"/>
            <w:shd w:val="clear" w:color="auto" w:fill="auto"/>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2021 год</w:t>
            </w:r>
          </w:p>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01 октября)</w:t>
            </w:r>
          </w:p>
        </w:tc>
      </w:tr>
      <w:tr w:rsidR="00F94547">
        <w:tc>
          <w:tcPr>
            <w:tcW w:w="4945" w:type="dxa"/>
            <w:shd w:val="clear" w:color="auto" w:fill="auto"/>
          </w:tcPr>
          <w:p w:rsidR="00F94547" w:rsidRDefault="00720AC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посетителей (чел.)</w:t>
            </w:r>
          </w:p>
        </w:tc>
        <w:tc>
          <w:tcPr>
            <w:tcW w:w="1577"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4475</w:t>
            </w:r>
          </w:p>
        </w:tc>
        <w:tc>
          <w:tcPr>
            <w:tcW w:w="1275"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992</w:t>
            </w:r>
          </w:p>
        </w:tc>
        <w:tc>
          <w:tcPr>
            <w:tcW w:w="1979"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1245</w:t>
            </w:r>
          </w:p>
        </w:tc>
      </w:tr>
      <w:tr w:rsidR="00F94547">
        <w:tc>
          <w:tcPr>
            <w:tcW w:w="4945" w:type="dxa"/>
            <w:shd w:val="clear" w:color="auto" w:fill="auto"/>
          </w:tcPr>
          <w:p w:rsidR="00F94547" w:rsidRDefault="00720AC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 ч. льготные категории (чел.)</w:t>
            </w:r>
          </w:p>
        </w:tc>
        <w:tc>
          <w:tcPr>
            <w:tcW w:w="1577"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449</w:t>
            </w:r>
          </w:p>
        </w:tc>
        <w:tc>
          <w:tcPr>
            <w:tcW w:w="1275"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149</w:t>
            </w:r>
          </w:p>
        </w:tc>
        <w:tc>
          <w:tcPr>
            <w:tcW w:w="1979"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w:t>
            </w:r>
          </w:p>
        </w:tc>
      </w:tr>
      <w:tr w:rsidR="00F94547">
        <w:tc>
          <w:tcPr>
            <w:tcW w:w="4945" w:type="dxa"/>
            <w:shd w:val="clear" w:color="auto" w:fill="auto"/>
          </w:tcPr>
          <w:p w:rsidR="00F94547" w:rsidRDefault="00720AC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 ч. детей до 16 лет (чел.)</w:t>
            </w:r>
          </w:p>
        </w:tc>
        <w:tc>
          <w:tcPr>
            <w:tcW w:w="1577"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3217</w:t>
            </w:r>
          </w:p>
        </w:tc>
        <w:tc>
          <w:tcPr>
            <w:tcW w:w="1275"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543</w:t>
            </w:r>
          </w:p>
        </w:tc>
        <w:tc>
          <w:tcPr>
            <w:tcW w:w="1979"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767</w:t>
            </w:r>
          </w:p>
        </w:tc>
      </w:tr>
      <w:tr w:rsidR="00F94547">
        <w:tc>
          <w:tcPr>
            <w:tcW w:w="4945" w:type="dxa"/>
            <w:shd w:val="clear" w:color="auto" w:fill="auto"/>
          </w:tcPr>
          <w:p w:rsidR="00F94547" w:rsidRDefault="00720AC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посетителей выставок (чел.)</w:t>
            </w:r>
          </w:p>
        </w:tc>
        <w:tc>
          <w:tcPr>
            <w:tcW w:w="1577"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3760</w:t>
            </w:r>
          </w:p>
        </w:tc>
        <w:tc>
          <w:tcPr>
            <w:tcW w:w="1275"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1293</w:t>
            </w:r>
          </w:p>
        </w:tc>
        <w:tc>
          <w:tcPr>
            <w:tcW w:w="1979" w:type="dxa"/>
            <w:shd w:val="clear" w:color="auto" w:fill="auto"/>
            <w:vAlign w:val="center"/>
          </w:tcPr>
          <w:p w:rsidR="00F94547" w:rsidRDefault="00720AC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2259</w:t>
            </w:r>
          </w:p>
        </w:tc>
      </w:tr>
    </w:tbl>
    <w:p w:rsidR="00F94547" w:rsidRDefault="00F94547">
      <w:pPr>
        <w:spacing w:after="0" w:line="276" w:lineRule="auto"/>
        <w:jc w:val="both"/>
        <w:rPr>
          <w:rFonts w:ascii="Times New Roman" w:eastAsia="Calibri" w:hAnsi="Times New Roman" w:cs="Times New Roman"/>
          <w:sz w:val="26"/>
          <w:szCs w:val="26"/>
        </w:rPr>
      </w:pP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2020 году страничку музея в социальной сети </w:t>
      </w:r>
      <w:proofErr w:type="spellStart"/>
      <w:r>
        <w:rPr>
          <w:rFonts w:ascii="Times New Roman" w:eastAsia="Calibri" w:hAnsi="Times New Roman" w:cs="Times New Roman"/>
          <w:sz w:val="26"/>
          <w:szCs w:val="26"/>
        </w:rPr>
        <w:t>Instagram</w:t>
      </w:r>
      <w:proofErr w:type="spellEnd"/>
      <w:r>
        <w:rPr>
          <w:rFonts w:ascii="Times New Roman" w:eastAsia="Calibri" w:hAnsi="Times New Roman" w:cs="Times New Roman"/>
          <w:sz w:val="26"/>
          <w:szCs w:val="26"/>
        </w:rPr>
        <w:t xml:space="preserve"> посетили 1488 человек, в 2021 году 653 человека.</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Сотрудники музея регулярно совершенствуют свои навыки на курсах повышения квалификации.</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2019 году, курсы повышения квалификации (КПК) прошли 2 человека по программам «Научно-исследовательская деятельность в музее» и «Профессиональные стандарты как инструмент формирования и реализации кадровой политики организации».</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2020 году 3 человека прошли КПК (дистанционно) по программе «Организация и проведение мероприятий для взрослой аудитории» и профессиональную переподготовку по программе «Деятельность по хранению музейных предметов и музейных коллекций» прошел 1 человек;</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2021 году, в рамках реализации национального проекта «Культура», в Центре непрерывного образования и повышения квалификации творческих и управленческих кадров Санкт – Петербургского Государственного института культуры дистанционно обучились 2 специалиста по программам: «Современные технологии проектирования музейных экспозиций и выставок» и «Виртуальные выставки в учреждениях культуры: проектирование и организация».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Кроме того, в 2021 году сотрудники музея приняли участие в фестивале музеев Иркутской области «Маёвка» с докладом «Деятельность Бодайбинского городского краеведческого музея в рамках проекта «Военный альбом».</w:t>
      </w:r>
    </w:p>
    <w:p w:rsidR="00F94547" w:rsidRDefault="00720ACF">
      <w:pPr>
        <w:spacing w:after="0" w:line="276" w:lineRule="auto"/>
        <w:ind w:firstLine="708"/>
        <w:jc w:val="both"/>
        <w:rPr>
          <w:rFonts w:ascii="Times New Roman" w:eastAsia="Calibri" w:hAnsi="Times New Roman" w:cs="Times New Roman"/>
          <w:b/>
          <w:sz w:val="26"/>
          <w:szCs w:val="26"/>
        </w:rPr>
      </w:pPr>
      <w:r>
        <w:rPr>
          <w:rFonts w:ascii="Times New Roman" w:eastAsia="Calibri" w:hAnsi="Times New Roman" w:cs="Times New Roman"/>
          <w:b/>
          <w:sz w:val="26"/>
          <w:szCs w:val="26"/>
        </w:rPr>
        <w:t>Улучшение материально – технической базы музея.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За последние три года в музее проведен большой объем ремонтных работ.В 2019-2021 годах из средств бюджета МО г. Бодайбо и района выделены и освоены денежные средства в объеме 3 618719,99 рублей: отремонтированы выставочные залы музея, кабинеты второго этажа, крыльцо и завалинка, системы отопления и канализации, окрашен фасад здания.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За счет дополнительных ассигнований из местного бюджета были приобретены стенды из композитных материалов для обновления военной экспозиции, демонстрационные стенды для передвижных и временных выставок, произведен ремонт системы автоматической пожарной сигнализации, рабочие места сотрудников оснащены компьютерами, постепенно обновляется оргтехника.</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Востребованность музея подтверждают многочисленные пожелания, оставленные посетителями в «Книге отзывов музея». Деятельность музея отражается на страницах газеты «Ленский шахтер», в информационных выпусках программы «Вести Бодайбо».</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b/>
          <w:sz w:val="26"/>
          <w:szCs w:val="26"/>
        </w:rPr>
        <w:t>Основными проблемами</w:t>
      </w:r>
      <w:r>
        <w:rPr>
          <w:rFonts w:ascii="Times New Roman" w:eastAsia="Calibri" w:hAnsi="Times New Roman" w:cs="Times New Roman"/>
          <w:sz w:val="26"/>
          <w:szCs w:val="26"/>
        </w:rPr>
        <w:t xml:space="preserve"> музея являются:</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1.Обеспечение должных условий хранения музейных предметов и музейных коллекций. Недостаточное количество площадей в фондохранилище для размещения предметов и их </w:t>
      </w:r>
      <w:proofErr w:type="spellStart"/>
      <w:r>
        <w:rPr>
          <w:rFonts w:ascii="Times New Roman" w:eastAsia="Calibri" w:hAnsi="Times New Roman" w:cs="Times New Roman"/>
          <w:sz w:val="26"/>
          <w:szCs w:val="26"/>
        </w:rPr>
        <w:t>дофондового</w:t>
      </w:r>
      <w:proofErr w:type="spellEnd"/>
      <w:r>
        <w:rPr>
          <w:rFonts w:ascii="Times New Roman" w:eastAsia="Calibri" w:hAnsi="Times New Roman" w:cs="Times New Roman"/>
          <w:sz w:val="26"/>
          <w:szCs w:val="26"/>
        </w:rPr>
        <w:t xml:space="preserve"> хранения, что является нарушением обязательных требований ст.5 Федерального закона от 26 мая 1996 № 54-ФЗ «О Музейном фонде Российской Федерации и музеях в Российской Федерации».</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Обеспечение физической сохранности предметов, в связи с несоответствием норм температурно-влажностного режима в отопительный период, который продолжается 9 месяцев. Установка специальных систем кондиционирования воздуха для здания, в котором располагается музей не представляется возможной. </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3. Выставочное оборудование музея частично изношено и требует замены.</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4. Отсутствует возможность выполнять в полном объеме обязательства по платным услугам, в связи со значительным уменьшением количества посетителей и сложной эпидемиологической обстановкой на протяжении 2 лет.</w:t>
      </w:r>
    </w:p>
    <w:p w:rsidR="00F94547" w:rsidRDefault="00720ACF">
      <w:pPr>
        <w:spacing w:after="0" w:line="276"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Несмотря на существующие проблемы коллектив музея с уверенностью и оптимизмом смотрит в будущее, стараясь разнообразить формы работы, пополняя фонды новыми экспонатами, привлекая новых посетителей, тем самым повышая популярность культурного заведения.</w:t>
      </w:r>
    </w:p>
    <w:p w:rsidR="00F94547" w:rsidRDefault="00720ACF">
      <w:pPr>
        <w:spacing w:after="0" w:line="276" w:lineRule="auto"/>
        <w:ind w:firstLine="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Планы работы:</w:t>
      </w:r>
    </w:p>
    <w:p w:rsidR="00F94547" w:rsidRDefault="00720ACF">
      <w:pPr>
        <w:pStyle w:val="a6"/>
        <w:numPr>
          <w:ilvl w:val="0"/>
          <w:numId w:val="2"/>
        </w:numPr>
        <w:spacing w:after="0" w:line="276" w:lineRule="auto"/>
        <w:ind w:left="0" w:firstLine="426"/>
        <w:jc w:val="both"/>
        <w:rPr>
          <w:rFonts w:ascii="Times New Roman" w:eastAsia="Calibri" w:hAnsi="Times New Roman" w:cs="Times New Roman"/>
          <w:sz w:val="26"/>
          <w:szCs w:val="26"/>
        </w:rPr>
      </w:pPr>
      <w:r>
        <w:rPr>
          <w:rFonts w:ascii="Times New Roman" w:eastAsia="Calibri" w:hAnsi="Times New Roman" w:cs="Times New Roman"/>
          <w:sz w:val="26"/>
          <w:szCs w:val="26"/>
        </w:rPr>
        <w:t>Повышение привлекательности и комфортности музея для посетителей через:</w:t>
      </w:r>
    </w:p>
    <w:p w:rsidR="00F94547" w:rsidRDefault="00720ACF">
      <w:pPr>
        <w:pStyle w:val="a6"/>
        <w:numPr>
          <w:ilvl w:val="1"/>
          <w:numId w:val="2"/>
        </w:numPr>
        <w:spacing w:after="0" w:line="276" w:lineRule="auto"/>
        <w:ind w:left="0" w:firstLine="426"/>
        <w:jc w:val="both"/>
        <w:rPr>
          <w:rFonts w:ascii="Times New Roman" w:eastAsia="Calibri" w:hAnsi="Times New Roman" w:cs="Times New Roman"/>
          <w:sz w:val="26"/>
          <w:szCs w:val="26"/>
        </w:rPr>
      </w:pPr>
      <w:r>
        <w:rPr>
          <w:rFonts w:ascii="Times New Roman" w:eastAsia="Calibri" w:hAnsi="Times New Roman" w:cs="Times New Roman"/>
          <w:sz w:val="26"/>
          <w:szCs w:val="26"/>
        </w:rPr>
        <w:t>Приобретение нового модернизованного выставочного оборудования, позволяющего расширить музейную экспозицию за счет увеличения представленных для зрителей экспонатов.</w:t>
      </w:r>
    </w:p>
    <w:p w:rsidR="00F94547" w:rsidRDefault="00720ACF">
      <w:pPr>
        <w:pStyle w:val="a6"/>
        <w:numPr>
          <w:ilvl w:val="1"/>
          <w:numId w:val="2"/>
        </w:numPr>
        <w:spacing w:after="0" w:line="276" w:lineRule="auto"/>
        <w:ind w:left="0" w:firstLine="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Завершение регистрации музейных предметов и коллекций в Государственном каталоге Музейного фонда Российской Федерации к 2025 году. Благодаря данной работе любой посетитель на сайте </w:t>
      </w:r>
      <w:proofErr w:type="spellStart"/>
      <w:r>
        <w:rPr>
          <w:rFonts w:ascii="Times New Roman" w:eastAsia="Calibri" w:hAnsi="Times New Roman" w:cs="Times New Roman"/>
          <w:sz w:val="26"/>
          <w:szCs w:val="26"/>
        </w:rPr>
        <w:t>Госкаталога</w:t>
      </w:r>
      <w:proofErr w:type="spellEnd"/>
      <w:r>
        <w:rPr>
          <w:rFonts w:ascii="Times New Roman" w:eastAsia="Calibri" w:hAnsi="Times New Roman" w:cs="Times New Roman"/>
          <w:sz w:val="26"/>
          <w:szCs w:val="26"/>
        </w:rPr>
        <w:t xml:space="preserve"> РФ Сможет ознакомиться с предметами и коллекциями всех музеев страны.</w:t>
      </w:r>
    </w:p>
    <w:p w:rsidR="00F94547" w:rsidRDefault="00720ACF">
      <w:pPr>
        <w:pStyle w:val="a6"/>
        <w:numPr>
          <w:ilvl w:val="0"/>
          <w:numId w:val="2"/>
        </w:numPr>
        <w:spacing w:after="0" w:line="276" w:lineRule="auto"/>
        <w:ind w:left="0" w:firstLine="426"/>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Научное изучение источников и представление результатов обществу, деятельности включающее в себя научное описание предметов и коллекций, составление каталогов, а также самообразование основных работников по определенной ими теме.</w:t>
      </w:r>
    </w:p>
    <w:p w:rsidR="00F94547" w:rsidRDefault="00720ACF">
      <w:pPr>
        <w:pStyle w:val="a6"/>
        <w:numPr>
          <w:ilvl w:val="0"/>
          <w:numId w:val="2"/>
        </w:numPr>
        <w:spacing w:after="0" w:line="276"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Замена постоянной экспозиции музея с использованием традиционных и экспериментальных подходов при проектировании музейных экспозиций и выставок. </w:t>
      </w:r>
    </w:p>
    <w:p w:rsidR="00F94547" w:rsidRDefault="00F94547">
      <w:pPr>
        <w:spacing w:after="0" w:line="276" w:lineRule="auto"/>
        <w:jc w:val="both"/>
        <w:rPr>
          <w:rFonts w:ascii="Times New Roman" w:eastAsia="Calibri" w:hAnsi="Times New Roman" w:cs="Times New Roman"/>
          <w:sz w:val="26"/>
          <w:szCs w:val="26"/>
        </w:rPr>
      </w:pPr>
    </w:p>
    <w:p w:rsidR="00F94547" w:rsidRDefault="00720ACF">
      <w:pPr>
        <w:pStyle w:val="a6"/>
        <w:spacing w:after="0" w:line="276" w:lineRule="auto"/>
        <w:ind w:left="0" w:firstLine="568"/>
        <w:jc w:val="both"/>
        <w:rPr>
          <w:rFonts w:ascii="Times New Roman" w:eastAsia="Calibri" w:hAnsi="Times New Roman" w:cs="Times New Roman"/>
          <w:sz w:val="26"/>
          <w:szCs w:val="26"/>
        </w:rPr>
      </w:pPr>
      <w:r>
        <w:rPr>
          <w:rFonts w:ascii="Times New Roman" w:eastAsia="Calibri" w:hAnsi="Times New Roman" w:cs="Times New Roman"/>
          <w:b/>
          <w:sz w:val="26"/>
          <w:szCs w:val="26"/>
        </w:rPr>
        <w:t>Выводы:</w:t>
      </w:r>
      <w:r>
        <w:rPr>
          <w:rFonts w:ascii="Times New Roman" w:eastAsia="Calibri" w:hAnsi="Times New Roman" w:cs="Times New Roman"/>
          <w:sz w:val="26"/>
          <w:szCs w:val="26"/>
        </w:rPr>
        <w:t xml:space="preserve"> Современный музей, как и прежде, остается многофункциональным институтом социальной информации, предназначенной для сохранения культурно-исторических и естественно-научных ценностей. Он не может полноценно существовать без активного взаимодействия и связи с другими организациями и людьми, которые являются носителями культуры, свидетелями исторических событий и просто друзьями музея.</w:t>
      </w:r>
    </w:p>
    <w:p w:rsidR="00F94547" w:rsidRDefault="00F94547">
      <w:pPr>
        <w:spacing w:after="0" w:line="276" w:lineRule="auto"/>
        <w:ind w:firstLine="426"/>
        <w:jc w:val="both"/>
        <w:rPr>
          <w:rFonts w:ascii="Times New Roman" w:eastAsia="Calibri" w:hAnsi="Times New Roman" w:cs="Times New Roman"/>
          <w:sz w:val="26"/>
          <w:szCs w:val="26"/>
        </w:rPr>
      </w:pPr>
    </w:p>
    <w:p w:rsidR="00C2631E" w:rsidRDefault="00720ACF" w:rsidP="00C2631E">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Начальник Управления культуры </w:t>
      </w:r>
      <w:r w:rsidR="00C2631E">
        <w:rPr>
          <w:rFonts w:ascii="Times New Roman" w:eastAsia="Calibri" w:hAnsi="Times New Roman" w:cs="Times New Roman"/>
          <w:sz w:val="26"/>
          <w:szCs w:val="26"/>
        </w:rPr>
        <w:t xml:space="preserve"> </w:t>
      </w:r>
    </w:p>
    <w:p w:rsidR="00C2631E" w:rsidRDefault="00C2631E" w:rsidP="00C2631E">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администрации МО г. Бодайбо и района        _________  </w:t>
      </w:r>
      <w:r w:rsidR="00720AC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Е.Н.Степанова     </w:t>
      </w:r>
      <w:r w:rsidR="00720ACF">
        <w:rPr>
          <w:rFonts w:ascii="Times New Roman" w:eastAsia="Calibri" w:hAnsi="Times New Roman" w:cs="Times New Roman"/>
          <w:sz w:val="26"/>
          <w:szCs w:val="26"/>
        </w:rPr>
        <w:t xml:space="preserve">                         </w:t>
      </w:r>
    </w:p>
    <w:p w:rsidR="00F94547" w:rsidRDefault="00720ACF" w:rsidP="00C2631E">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30.09.2021</w:t>
      </w:r>
      <w:bookmarkStart w:id="0" w:name="_GoBack"/>
      <w:bookmarkEnd w:id="0"/>
    </w:p>
    <w:sectPr w:rsidR="00F94547" w:rsidSect="002D18C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7CA"/>
    <w:multiLevelType w:val="multilevel"/>
    <w:tmpl w:val="DAF446D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nsid w:val="14A520AB"/>
    <w:multiLevelType w:val="hybridMultilevel"/>
    <w:tmpl w:val="66AEB50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4547"/>
    <w:rsid w:val="002D18CB"/>
    <w:rsid w:val="00720ACF"/>
    <w:rsid w:val="00C2631E"/>
    <w:rsid w:val="00F94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CB"/>
  </w:style>
  <w:style w:type="paragraph" w:styleId="1">
    <w:name w:val="heading 1"/>
    <w:basedOn w:val="a"/>
    <w:next w:val="a"/>
    <w:link w:val="10"/>
    <w:uiPriority w:val="9"/>
    <w:qFormat/>
    <w:rsid w:val="002D1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18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18CB"/>
    <w:rPr>
      <w:rFonts w:ascii="Segoe UI" w:hAnsi="Segoe UI" w:cs="Segoe UI"/>
      <w:sz w:val="18"/>
      <w:szCs w:val="18"/>
    </w:rPr>
  </w:style>
  <w:style w:type="paragraph" w:styleId="a6">
    <w:name w:val="List Paragraph"/>
    <w:basedOn w:val="a"/>
    <w:uiPriority w:val="34"/>
    <w:qFormat/>
    <w:rsid w:val="002D18CB"/>
    <w:pPr>
      <w:ind w:left="720"/>
      <w:contextualSpacing/>
    </w:pPr>
  </w:style>
  <w:style w:type="character" w:customStyle="1" w:styleId="10">
    <w:name w:val="Заголовок 1 Знак"/>
    <w:basedOn w:val="a0"/>
    <w:link w:val="1"/>
    <w:uiPriority w:val="9"/>
    <w:rsid w:val="002D18CB"/>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720744580">
      <w:bodyDiv w:val="1"/>
      <w:marLeft w:val="0"/>
      <w:marRight w:val="0"/>
      <w:marTop w:val="0"/>
      <w:marBottom w:val="0"/>
      <w:divBdr>
        <w:top w:val="none" w:sz="0" w:space="0" w:color="auto"/>
        <w:left w:val="none" w:sz="0" w:space="0" w:color="auto"/>
        <w:bottom w:val="none" w:sz="0" w:space="0" w:color="auto"/>
        <w:right w:val="none" w:sz="0" w:space="0" w:color="auto"/>
      </w:divBdr>
      <w:divsChild>
        <w:div w:id="1948543828">
          <w:marLeft w:val="0"/>
          <w:marRight w:val="0"/>
          <w:marTop w:val="192"/>
          <w:marBottom w:val="0"/>
          <w:divBdr>
            <w:top w:val="none" w:sz="0" w:space="0" w:color="auto"/>
            <w:left w:val="none" w:sz="0" w:space="0" w:color="auto"/>
            <w:bottom w:val="none" w:sz="0" w:space="0" w:color="auto"/>
            <w:right w:val="none" w:sz="0" w:space="0" w:color="auto"/>
          </w:divBdr>
        </w:div>
        <w:div w:id="1467159713">
          <w:marLeft w:val="0"/>
          <w:marRight w:val="0"/>
          <w:marTop w:val="0"/>
          <w:marBottom w:val="0"/>
          <w:divBdr>
            <w:top w:val="none" w:sz="0" w:space="0" w:color="auto"/>
            <w:left w:val="none" w:sz="0" w:space="0" w:color="auto"/>
            <w:bottom w:val="none" w:sz="0" w:space="0" w:color="auto"/>
            <w:right w:val="none" w:sz="0" w:space="0" w:color="auto"/>
          </w:divBdr>
          <w:divsChild>
            <w:div w:id="65753527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6248-A3A9-4996-8031-F1304797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Олеся</cp:lastModifiedBy>
  <cp:revision>18</cp:revision>
  <cp:lastPrinted>2021-10-01T06:52:00Z</cp:lastPrinted>
  <dcterms:created xsi:type="dcterms:W3CDTF">2021-09-30T09:15:00Z</dcterms:created>
  <dcterms:modified xsi:type="dcterms:W3CDTF">2021-10-01T06:52:00Z</dcterms:modified>
</cp:coreProperties>
</file>