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C9" w:rsidRPr="009A42C9" w:rsidRDefault="009A42C9" w:rsidP="009A4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9A42C9" w:rsidRPr="009A42C9" w:rsidRDefault="009A42C9" w:rsidP="009A4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9A42C9" w:rsidRPr="009A42C9" w:rsidRDefault="009A42C9" w:rsidP="009A4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ГОРОДА БОДАЙБО И РАЙОНА </w:t>
      </w:r>
    </w:p>
    <w:p w:rsidR="009A42C9" w:rsidRPr="009A42C9" w:rsidRDefault="009A42C9" w:rsidP="009A4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A4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9A4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9A42C9" w:rsidRPr="009A42C9" w:rsidRDefault="009A42C9" w:rsidP="009A42C9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2C9" w:rsidRPr="009A42C9" w:rsidRDefault="006B69F2" w:rsidP="009A42C9">
      <w:pPr>
        <w:spacing w:after="0" w:line="240" w:lineRule="auto"/>
        <w:ind w:right="-4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14.02.</w:t>
      </w:r>
      <w:r w:rsidR="009A42C9" w:rsidRPr="009A42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9A42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9A42C9" w:rsidRPr="009A42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A42C9" w:rsidRPr="009A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9A42C9" w:rsidRPr="009A42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42C9" w:rsidRPr="009A42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Бодайбо                                        </w:t>
      </w:r>
      <w:r w:rsidR="00F2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A42C9" w:rsidRPr="009A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28-пп</w:t>
      </w:r>
      <w:bookmarkStart w:id="0" w:name="_GoBack"/>
      <w:bookmarkEnd w:id="0"/>
    </w:p>
    <w:p w:rsidR="009A42C9" w:rsidRPr="009A42C9" w:rsidRDefault="009A42C9" w:rsidP="009A42C9">
      <w:pPr>
        <w:spacing w:after="0" w:line="240" w:lineRule="auto"/>
        <w:ind w:right="-4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2C9" w:rsidRDefault="009A42C9" w:rsidP="009A4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9A42C9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Бюджетного</w:t>
      </w:r>
      <w:proofErr w:type="gramEnd"/>
    </w:p>
    <w:p w:rsidR="009A42C9" w:rsidRDefault="009A42C9" w:rsidP="009A4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прогноза муниципального</w:t>
      </w:r>
    </w:p>
    <w:p w:rsidR="009A42C9" w:rsidRDefault="009A42C9" w:rsidP="009A4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образования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. Бодайбо и </w:t>
      </w:r>
    </w:p>
    <w:p w:rsidR="009A42C9" w:rsidRDefault="009A42C9" w:rsidP="009A4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района на период до </w:t>
      </w:r>
      <w:r w:rsidRPr="009A42C9">
        <w:rPr>
          <w:rFonts w:ascii="Times New Roman" w:eastAsia="Times New Roman" w:hAnsi="Times New Roman" w:cs="Times New Roman"/>
          <w:sz w:val="24"/>
          <w:szCs w:val="24"/>
          <w:lang w:eastAsia="ru-RU"/>
        </w:rPr>
        <w:t>2025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9A42C9" w:rsidRDefault="009A42C9" w:rsidP="009A4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2C9" w:rsidRDefault="009A42C9" w:rsidP="009A4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9A42C9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6" w:history="1">
        <w:r w:rsidRPr="009A42C9">
          <w:rPr>
            <w:rFonts w:ascii="Times New Roman" w:hAnsi="Times New Roman" w:cs="Times New Roman"/>
            <w:sz w:val="24"/>
            <w:szCs w:val="24"/>
          </w:rPr>
          <w:t>ст. 170.1</w:t>
        </w:r>
      </w:hyperlink>
      <w:r w:rsidRPr="009A42C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7" w:history="1">
        <w:r w:rsidRPr="009A42C9">
          <w:rPr>
            <w:rFonts w:ascii="Times New Roman" w:hAnsi="Times New Roman" w:cs="Times New Roman"/>
            <w:sz w:val="24"/>
            <w:szCs w:val="24"/>
          </w:rPr>
          <w:t>п. 4 ч. 5 ст. 11</w:t>
        </w:r>
      </w:hyperlink>
      <w:r w:rsidRPr="009A42C9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9A42C9">
          <w:rPr>
            <w:rFonts w:ascii="Times New Roman" w:hAnsi="Times New Roman" w:cs="Times New Roman"/>
            <w:sz w:val="24"/>
            <w:szCs w:val="24"/>
          </w:rPr>
          <w:t>ст. 12</w:t>
        </w:r>
      </w:hyperlink>
      <w:r w:rsidRPr="009A42C9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9A42C9">
          <w:rPr>
            <w:rFonts w:ascii="Times New Roman" w:hAnsi="Times New Roman" w:cs="Times New Roman"/>
            <w:sz w:val="24"/>
            <w:szCs w:val="24"/>
          </w:rPr>
          <w:t>ч. 1 ст. 39</w:t>
        </w:r>
      </w:hyperlink>
      <w:r w:rsidRPr="009A42C9">
        <w:rPr>
          <w:rFonts w:ascii="Times New Roman" w:hAnsi="Times New Roman" w:cs="Times New Roman"/>
          <w:sz w:val="24"/>
          <w:szCs w:val="24"/>
        </w:rPr>
        <w:t xml:space="preserve"> Федерального закона "О стратегическом планировании в Российской Федерации", </w:t>
      </w:r>
      <w:hyperlink r:id="rId10" w:history="1">
        <w:r w:rsidRPr="009A42C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A42C9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утвержденным постановлением Правительства Российской Федерации от 25.06.2015 N 631,</w:t>
      </w:r>
      <w:r w:rsidRPr="009A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31 Устава муниципального образования г. Бодайбо и района</w:t>
      </w:r>
      <w:r w:rsidRPr="009A42C9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9A42C9">
          <w:rPr>
            <w:rFonts w:ascii="Times New Roman" w:hAnsi="Times New Roman" w:cs="Times New Roman"/>
            <w:sz w:val="24"/>
            <w:szCs w:val="24"/>
          </w:rPr>
          <w:t>ст</w:t>
        </w:r>
        <w:proofErr w:type="gramEnd"/>
        <w:r w:rsidRPr="009A42C9">
          <w:rPr>
            <w:rFonts w:ascii="Times New Roman" w:hAnsi="Times New Roman" w:cs="Times New Roman"/>
            <w:sz w:val="24"/>
            <w:szCs w:val="24"/>
          </w:rPr>
          <w:t xml:space="preserve">. </w:t>
        </w:r>
      </w:hyperlink>
      <w:proofErr w:type="gramStart"/>
      <w:r>
        <w:rPr>
          <w:rFonts w:ascii="Times New Roman" w:hAnsi="Times New Roman" w:cs="Times New Roman"/>
          <w:sz w:val="24"/>
          <w:szCs w:val="24"/>
        </w:rPr>
        <w:t>5(1)</w:t>
      </w:r>
      <w:r w:rsidRPr="009A42C9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 образовании г. Бодайбо и района</w:t>
      </w:r>
      <w:r w:rsidRPr="009A42C9">
        <w:rPr>
          <w:rFonts w:ascii="Times New Roman" w:hAnsi="Times New Roman" w:cs="Times New Roman"/>
          <w:sz w:val="24"/>
          <w:szCs w:val="24"/>
        </w:rPr>
        <w:t>, утвержденного решением Думы г</w:t>
      </w:r>
      <w:r>
        <w:rPr>
          <w:rFonts w:ascii="Times New Roman" w:hAnsi="Times New Roman" w:cs="Times New Roman"/>
          <w:sz w:val="24"/>
          <w:szCs w:val="24"/>
        </w:rPr>
        <w:t>. Бодайбо и района</w:t>
      </w:r>
      <w:r w:rsidRPr="009A42C9">
        <w:rPr>
          <w:rFonts w:ascii="Times New Roman" w:hAnsi="Times New Roman" w:cs="Times New Roman"/>
          <w:sz w:val="24"/>
          <w:szCs w:val="24"/>
        </w:rPr>
        <w:t xml:space="preserve"> </w:t>
      </w:r>
      <w:r w:rsidRPr="00A32865">
        <w:rPr>
          <w:rFonts w:ascii="Times New Roman" w:hAnsi="Times New Roman" w:cs="Times New Roman"/>
          <w:sz w:val="24"/>
          <w:szCs w:val="24"/>
        </w:rPr>
        <w:t xml:space="preserve">02.04.2008 N 11-па, </w:t>
      </w:r>
      <w:hyperlink r:id="rId12" w:history="1">
        <w:r w:rsidRPr="00A32865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A32865">
        <w:rPr>
          <w:rFonts w:ascii="Times New Roman" w:hAnsi="Times New Roman" w:cs="Times New Roman"/>
          <w:sz w:val="24"/>
          <w:szCs w:val="24"/>
        </w:rPr>
        <w:t xml:space="preserve"> </w:t>
      </w:r>
      <w:r w:rsidR="00A32865" w:rsidRPr="00A328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и утверждения, период действия, а также требования к составу и содержанию бюджетного прогноза муниципального образования г. Бодайбо и района на долгосрочный период</w:t>
      </w:r>
      <w:r w:rsidRPr="00A32865">
        <w:rPr>
          <w:rFonts w:ascii="Times New Roman" w:hAnsi="Times New Roman" w:cs="Times New Roman"/>
          <w:sz w:val="24"/>
          <w:szCs w:val="24"/>
        </w:rPr>
        <w:t xml:space="preserve">, </w:t>
      </w:r>
      <w:r w:rsidRPr="009A42C9"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</w:t>
      </w:r>
      <w:r w:rsidR="00A32865">
        <w:rPr>
          <w:rFonts w:ascii="Times New Roman" w:hAnsi="Times New Roman" w:cs="Times New Roman"/>
          <w:sz w:val="24"/>
          <w:szCs w:val="24"/>
        </w:rPr>
        <w:t>А</w:t>
      </w:r>
      <w:r w:rsidRPr="009A42C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32865">
        <w:rPr>
          <w:rFonts w:ascii="Times New Roman" w:hAnsi="Times New Roman" w:cs="Times New Roman"/>
          <w:sz w:val="24"/>
          <w:szCs w:val="24"/>
        </w:rPr>
        <w:t xml:space="preserve">г. Бодайбо и  района </w:t>
      </w:r>
      <w:r w:rsidRPr="009A42C9">
        <w:rPr>
          <w:rFonts w:ascii="Times New Roman" w:hAnsi="Times New Roman" w:cs="Times New Roman"/>
          <w:sz w:val="24"/>
          <w:szCs w:val="24"/>
        </w:rPr>
        <w:t xml:space="preserve">от </w:t>
      </w:r>
      <w:r w:rsidR="00A32865">
        <w:rPr>
          <w:rFonts w:ascii="Times New Roman" w:hAnsi="Times New Roman" w:cs="Times New Roman"/>
          <w:sz w:val="24"/>
          <w:szCs w:val="24"/>
        </w:rPr>
        <w:t>07</w:t>
      </w:r>
      <w:r w:rsidRPr="009A42C9">
        <w:rPr>
          <w:rFonts w:ascii="Times New Roman" w:hAnsi="Times New Roman" w:cs="Times New Roman"/>
          <w:sz w:val="24"/>
          <w:szCs w:val="24"/>
        </w:rPr>
        <w:t>.</w:t>
      </w:r>
      <w:r w:rsidR="00A32865">
        <w:rPr>
          <w:rFonts w:ascii="Times New Roman" w:hAnsi="Times New Roman" w:cs="Times New Roman"/>
          <w:sz w:val="24"/>
          <w:szCs w:val="24"/>
        </w:rPr>
        <w:t>07</w:t>
      </w:r>
      <w:r w:rsidRPr="009A42C9">
        <w:rPr>
          <w:rFonts w:ascii="Times New Roman" w:hAnsi="Times New Roman" w:cs="Times New Roman"/>
          <w:sz w:val="24"/>
          <w:szCs w:val="24"/>
        </w:rPr>
        <w:t>.201</w:t>
      </w:r>
      <w:r w:rsidR="00A32865">
        <w:rPr>
          <w:rFonts w:ascii="Times New Roman" w:hAnsi="Times New Roman" w:cs="Times New Roman"/>
          <w:sz w:val="24"/>
          <w:szCs w:val="24"/>
        </w:rPr>
        <w:t>9</w:t>
      </w:r>
      <w:r w:rsidRPr="009A42C9">
        <w:rPr>
          <w:rFonts w:ascii="Times New Roman" w:hAnsi="Times New Roman" w:cs="Times New Roman"/>
          <w:sz w:val="24"/>
          <w:szCs w:val="24"/>
        </w:rPr>
        <w:t xml:space="preserve"> N </w:t>
      </w:r>
      <w:r w:rsidR="00A32865">
        <w:rPr>
          <w:rFonts w:ascii="Times New Roman" w:hAnsi="Times New Roman" w:cs="Times New Roman"/>
          <w:sz w:val="24"/>
          <w:szCs w:val="24"/>
        </w:rPr>
        <w:t>117-п</w:t>
      </w:r>
      <w:r w:rsidRPr="00F27C6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gramEnd"/>
    </w:p>
    <w:p w:rsidR="009A42C9" w:rsidRDefault="003D1A5A" w:rsidP="009A42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3D1A5A" w:rsidRDefault="003D1A5A" w:rsidP="00CA2D75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</w:t>
      </w:r>
      <w:r w:rsidR="00FB1B3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юджетный прогноз муниципального образования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Бодайбо и района на период до 2025 года </w:t>
      </w:r>
      <w:r w:rsidR="00CA2D7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прилагается).</w:t>
      </w:r>
    </w:p>
    <w:p w:rsidR="00FF39CF" w:rsidRPr="00FF39CF" w:rsidRDefault="003D1A5A" w:rsidP="00FF39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39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экономического анализа и прогнозирования (Соколова</w:t>
      </w:r>
      <w:r w:rsidR="00FB1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  <w:r w:rsidRPr="00FF39C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F39CF" w:rsidRPr="00FF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9CF" w:rsidRPr="00FF39CF">
        <w:rPr>
          <w:rFonts w:ascii="Times New Roman" w:hAnsi="Times New Roman" w:cs="Times New Roman"/>
          <w:sz w:val="24"/>
          <w:szCs w:val="24"/>
        </w:rPr>
        <w:t>в течение 10 дней со дня принятия настоящего постановления обеспечить в установленном порядке направление уведомления об утверждении Бюджетного прогноза</w:t>
      </w:r>
      <w:r w:rsidR="00FF39CF" w:rsidRPr="00FF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г. Бодайбо и района на период до 2025 года</w:t>
      </w:r>
      <w:r w:rsidR="00FF39CF" w:rsidRPr="00FF39CF">
        <w:rPr>
          <w:rFonts w:ascii="Times New Roman" w:hAnsi="Times New Roman" w:cs="Times New Roman"/>
          <w:sz w:val="24"/>
          <w:szCs w:val="24"/>
        </w:rPr>
        <w:t xml:space="preserve"> в Министерство экономического развития Российской Федерации в целях государственной регистрации документа стратегического планирования.</w:t>
      </w:r>
      <w:proofErr w:type="gramEnd"/>
    </w:p>
    <w:p w:rsidR="003D1A5A" w:rsidRDefault="00FF39CF" w:rsidP="00FF39C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отдела организационной работы Лыковой</w:t>
      </w:r>
      <w:r w:rsidR="00FB1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</w:t>
      </w:r>
      <w:r w:rsidRPr="00FF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F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астоящее постановление в газете «Ленский шахтер» и разместить на официальном сайте в сети интернет Администрации </w:t>
      </w:r>
      <w:proofErr w:type="gramStart"/>
      <w:r w:rsidRPr="00FF39C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F39CF">
        <w:rPr>
          <w:rFonts w:ascii="Times New Roman" w:eastAsia="Times New Roman" w:hAnsi="Times New Roman" w:cs="Times New Roman"/>
          <w:sz w:val="24"/>
          <w:szCs w:val="24"/>
          <w:lang w:eastAsia="ru-RU"/>
        </w:rPr>
        <w:t>.  Бодайбо и района.</w:t>
      </w:r>
    </w:p>
    <w:p w:rsidR="00FF39CF" w:rsidRDefault="00FF39CF" w:rsidP="00FF39C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CF" w:rsidRDefault="00FF39CF" w:rsidP="00FF39C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CF" w:rsidRDefault="00FF39CF" w:rsidP="00FF39C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CF" w:rsidRDefault="00E12B0D" w:rsidP="00FF39CF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</w:t>
      </w:r>
      <w:r w:rsidR="00FF39CF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</w:t>
      </w:r>
      <w:r w:rsidR="00FB1B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F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БОДАЙБО И РАЙОНА                                              </w:t>
      </w:r>
      <w:r w:rsidR="00F2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КРИЦКИЙ</w:t>
      </w:r>
    </w:p>
    <w:p w:rsidR="00FF39CF" w:rsidRDefault="00FF39CF" w:rsidP="00FF39CF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CF" w:rsidRDefault="00FF39CF" w:rsidP="00FF39CF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CF" w:rsidRDefault="00FF39CF" w:rsidP="00FF39CF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CF" w:rsidRDefault="00FF39CF" w:rsidP="00FF39CF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CF" w:rsidRPr="00FF39CF" w:rsidRDefault="00FF39CF" w:rsidP="00FF39CF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2C9" w:rsidRDefault="009A42C9" w:rsidP="002C0E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2C9" w:rsidRDefault="009A42C9" w:rsidP="002C0E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2C9" w:rsidRDefault="009A42C9" w:rsidP="002C0E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2C9" w:rsidRDefault="009A42C9" w:rsidP="002C0E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2C9" w:rsidRDefault="009A42C9" w:rsidP="002C0E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C68" w:rsidRDefault="008D1C68" w:rsidP="002C0E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2C9" w:rsidRDefault="009A42C9" w:rsidP="002C0E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B38" w:rsidRDefault="00FB1B38" w:rsidP="00FB1B3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B1B38" w:rsidRDefault="00FB1B38" w:rsidP="00FB1B3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B1B38" w:rsidRDefault="00FB1B38" w:rsidP="00FB1B3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района</w:t>
      </w:r>
    </w:p>
    <w:p w:rsidR="00FB1B38" w:rsidRPr="00FB1B38" w:rsidRDefault="00F26900" w:rsidP="00FB1B3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14.02.</w:t>
      </w:r>
      <w:r w:rsidR="00FB1B38">
        <w:rPr>
          <w:rFonts w:ascii="Times New Roman" w:hAnsi="Times New Roman" w:cs="Times New Roman"/>
          <w:sz w:val="24"/>
          <w:szCs w:val="24"/>
        </w:rPr>
        <w:t xml:space="preserve">2020 № </w:t>
      </w:r>
      <w:r>
        <w:rPr>
          <w:rFonts w:ascii="Times New Roman" w:hAnsi="Times New Roman" w:cs="Times New Roman"/>
          <w:sz w:val="24"/>
          <w:szCs w:val="24"/>
        </w:rPr>
        <w:t>28-пп</w:t>
      </w:r>
    </w:p>
    <w:p w:rsidR="00FB1B38" w:rsidRDefault="00FB1B38" w:rsidP="002C0E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B38" w:rsidRDefault="00FB1B38" w:rsidP="002C0E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E5B" w:rsidRPr="009B3F01" w:rsidRDefault="002C0E5B" w:rsidP="002C0E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F01">
        <w:rPr>
          <w:rFonts w:ascii="Times New Roman" w:hAnsi="Times New Roman" w:cs="Times New Roman"/>
          <w:b/>
          <w:sz w:val="24"/>
          <w:szCs w:val="24"/>
        </w:rPr>
        <w:t>Бюджетный прогноз</w:t>
      </w:r>
    </w:p>
    <w:p w:rsidR="002C0E5B" w:rsidRPr="009B3F01" w:rsidRDefault="002C0E5B" w:rsidP="002C0E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F01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gramStart"/>
      <w:r w:rsidRPr="009B3F01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9B3F01">
        <w:rPr>
          <w:rFonts w:ascii="Times New Roman" w:hAnsi="Times New Roman" w:cs="Times New Roman"/>
          <w:b/>
          <w:sz w:val="24"/>
          <w:szCs w:val="24"/>
        </w:rPr>
        <w:t>. Бодайбо и района</w:t>
      </w:r>
    </w:p>
    <w:p w:rsidR="002C0E5B" w:rsidRPr="009B3F01" w:rsidRDefault="002C0E5B" w:rsidP="002C0E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F01">
        <w:rPr>
          <w:rFonts w:ascii="Times New Roman" w:hAnsi="Times New Roman" w:cs="Times New Roman"/>
          <w:b/>
          <w:sz w:val="24"/>
          <w:szCs w:val="24"/>
        </w:rPr>
        <w:t>на период до 2025 года</w:t>
      </w:r>
    </w:p>
    <w:p w:rsidR="002C0E5B" w:rsidRDefault="002C0E5B" w:rsidP="002C0E5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0E5B" w:rsidRDefault="002C0E5B" w:rsidP="002C0E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6756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26756D">
        <w:rPr>
          <w:rFonts w:ascii="Times New Roman" w:hAnsi="Times New Roman" w:cs="Times New Roman"/>
          <w:sz w:val="24"/>
          <w:szCs w:val="24"/>
        </w:rPr>
        <w:t>Бюджетный прогноз муниципального образования г. Бодайбо и района на период до 2025 года (далее – Бюджетный прогноз) разработан в соответствии со статьей 170.1 Бюджетного кодекса Российской Федерации, статьей 5(1) Положения о бюджетном процессе в муниципальном образовании г. Бодайбо и района, утвержденного решением Думы г. Бодайбо и района от 04.04.2008 №11-па, Порядком разработки и утверждения, период действия, а также требований к</w:t>
      </w:r>
      <w:proofErr w:type="gramEnd"/>
      <w:r w:rsidR="0026756D">
        <w:rPr>
          <w:rFonts w:ascii="Times New Roman" w:hAnsi="Times New Roman" w:cs="Times New Roman"/>
          <w:sz w:val="24"/>
          <w:szCs w:val="24"/>
        </w:rPr>
        <w:t xml:space="preserve"> составу и содержанию бюджетного прогноза муниципального образования </w:t>
      </w:r>
      <w:proofErr w:type="gramStart"/>
      <w:r w:rsidR="0026756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6756D">
        <w:rPr>
          <w:rFonts w:ascii="Times New Roman" w:hAnsi="Times New Roman" w:cs="Times New Roman"/>
          <w:sz w:val="24"/>
          <w:szCs w:val="24"/>
        </w:rPr>
        <w:t>. Бодайбо и района на долгосрочный период, утвержденным постановлением Администрации г. Бодайбо и района от 04.07.2019 № 117-п.</w:t>
      </w:r>
    </w:p>
    <w:p w:rsidR="0026756D" w:rsidRDefault="0026756D" w:rsidP="002C0E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Целью разработки Бюджетного прогноза является оценка долгосрочной динамики бюджетных параметров, позволяющая обеспечить необходимый уровень сбалансированности бюджета 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района.</w:t>
      </w:r>
    </w:p>
    <w:p w:rsidR="003B68C7" w:rsidRDefault="003B68C7" w:rsidP="002C0E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68C7" w:rsidRPr="009B3F01" w:rsidRDefault="008F535D" w:rsidP="008F535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F0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B3F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B68C7" w:rsidRPr="009B3F01">
        <w:rPr>
          <w:rFonts w:ascii="Times New Roman" w:hAnsi="Times New Roman" w:cs="Times New Roman"/>
          <w:b/>
          <w:sz w:val="24"/>
          <w:szCs w:val="24"/>
        </w:rPr>
        <w:t>Условия формирования бюджетного прогноза</w:t>
      </w:r>
    </w:p>
    <w:p w:rsidR="00D440EE" w:rsidRDefault="003B68C7" w:rsidP="003B68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Бюджетный прогноз сформирован на период до 2025 года в соответствии с бюджетным и налоговым законодательством с учетом изменений, вступающих в силу в плановом периоде</w:t>
      </w:r>
      <w:r w:rsidR="002A2013">
        <w:rPr>
          <w:rFonts w:ascii="Times New Roman" w:hAnsi="Times New Roman" w:cs="Times New Roman"/>
          <w:sz w:val="24"/>
          <w:szCs w:val="24"/>
        </w:rPr>
        <w:t>.</w:t>
      </w:r>
    </w:p>
    <w:p w:rsidR="002A2013" w:rsidRDefault="002A2013" w:rsidP="003B68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Состав показателей, предусмотренных в долгосрочном прогнозе социально-экономического развития 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 на период до 2025 года, не позволяет</w:t>
      </w:r>
      <w:r w:rsidR="00697270">
        <w:rPr>
          <w:rFonts w:ascii="Times New Roman" w:hAnsi="Times New Roman" w:cs="Times New Roman"/>
          <w:sz w:val="24"/>
          <w:szCs w:val="24"/>
        </w:rPr>
        <w:t xml:space="preserve"> установить вариант разработки Бюджетного прогноза, а также</w:t>
      </w:r>
      <w:r>
        <w:rPr>
          <w:rFonts w:ascii="Times New Roman" w:hAnsi="Times New Roman" w:cs="Times New Roman"/>
          <w:sz w:val="24"/>
          <w:szCs w:val="24"/>
        </w:rPr>
        <w:t xml:space="preserve"> их прямую взаимосвязь с показателями Бюджетного прогноза.</w:t>
      </w:r>
      <w:r w:rsidR="00D440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40EE">
        <w:rPr>
          <w:rFonts w:ascii="Times New Roman" w:hAnsi="Times New Roman" w:cs="Times New Roman"/>
          <w:sz w:val="24"/>
          <w:szCs w:val="24"/>
        </w:rPr>
        <w:t>Показатели среднемесячной начисленной заработной платы работников бюджетной сферы в сформированном долгосрочном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0EE">
        <w:rPr>
          <w:rFonts w:ascii="Times New Roman" w:hAnsi="Times New Roman" w:cs="Times New Roman"/>
          <w:sz w:val="24"/>
          <w:szCs w:val="24"/>
        </w:rPr>
        <w:t>прогнозе социально-экономического развития не соответствуют действительности, т.к. решения о прогнозе среднемесячной заработной плате работников бюджетной сферы в Иркутской области принимаются позже установленных сроков формирования долгосрочного прогноза социально-экономического развития, кроме этого в течение года происходит корректировка прогнозов по заработной плате.</w:t>
      </w:r>
      <w:proofErr w:type="gramEnd"/>
    </w:p>
    <w:p w:rsidR="00DC1991" w:rsidRDefault="00DC1991" w:rsidP="003B68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68C7" w:rsidRPr="009B3F01" w:rsidRDefault="00DC1991" w:rsidP="00DC19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F0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B3F01">
        <w:rPr>
          <w:rFonts w:ascii="Times New Roman" w:hAnsi="Times New Roman" w:cs="Times New Roman"/>
          <w:b/>
          <w:sz w:val="24"/>
          <w:szCs w:val="24"/>
        </w:rPr>
        <w:t>. Основные итоги исполнения бюджета</w:t>
      </w:r>
    </w:p>
    <w:p w:rsidR="00DC1991" w:rsidRPr="009B3F01" w:rsidRDefault="00DC1991" w:rsidP="00DC19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F01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gramStart"/>
      <w:r w:rsidRPr="009B3F01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9B3F01">
        <w:rPr>
          <w:rFonts w:ascii="Times New Roman" w:hAnsi="Times New Roman" w:cs="Times New Roman"/>
          <w:b/>
          <w:sz w:val="24"/>
          <w:szCs w:val="24"/>
        </w:rPr>
        <w:t>. Бодайбо и района</w:t>
      </w:r>
    </w:p>
    <w:p w:rsidR="009B3F01" w:rsidRDefault="009B3F01" w:rsidP="009B3F0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млн.</w:t>
      </w:r>
      <w:r w:rsidR="00E12B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Style w:val="a4"/>
        <w:tblW w:w="9634" w:type="dxa"/>
        <w:tblLook w:val="04A0"/>
      </w:tblPr>
      <w:tblGrid>
        <w:gridCol w:w="3256"/>
        <w:gridCol w:w="1112"/>
        <w:gridCol w:w="1243"/>
        <w:gridCol w:w="1562"/>
        <w:gridCol w:w="1231"/>
        <w:gridCol w:w="1230"/>
      </w:tblGrid>
      <w:tr w:rsidR="009B3F01" w:rsidTr="003D0CCA">
        <w:tc>
          <w:tcPr>
            <w:tcW w:w="3256" w:type="dxa"/>
          </w:tcPr>
          <w:p w:rsidR="009B3F01" w:rsidRPr="009B3F01" w:rsidRDefault="009B3F01" w:rsidP="009B3F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112" w:type="dxa"/>
          </w:tcPr>
          <w:p w:rsidR="009B3F01" w:rsidRPr="009B3F01" w:rsidRDefault="009B3F01" w:rsidP="009B3F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 (факт)</w:t>
            </w:r>
          </w:p>
        </w:tc>
        <w:tc>
          <w:tcPr>
            <w:tcW w:w="1243" w:type="dxa"/>
          </w:tcPr>
          <w:p w:rsidR="009B3F01" w:rsidRPr="009B3F01" w:rsidRDefault="009B3F01" w:rsidP="009B3F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 (факт)</w:t>
            </w:r>
          </w:p>
        </w:tc>
        <w:tc>
          <w:tcPr>
            <w:tcW w:w="1562" w:type="dxa"/>
          </w:tcPr>
          <w:p w:rsidR="009B3F01" w:rsidRDefault="009B3F01" w:rsidP="009B3F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  <w:p w:rsidR="009B3F01" w:rsidRPr="009B3F01" w:rsidRDefault="009B3F01" w:rsidP="0008637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8637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31" w:type="dxa"/>
          </w:tcPr>
          <w:p w:rsidR="009B3F01" w:rsidRPr="009B3F01" w:rsidRDefault="009B3F01" w:rsidP="00373C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Темп роста 2019 г. к 201</w:t>
            </w:r>
            <w:r w:rsidR="00373C8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г.,%</w:t>
            </w:r>
            <w:proofErr w:type="spellEnd"/>
          </w:p>
        </w:tc>
        <w:tc>
          <w:tcPr>
            <w:tcW w:w="1230" w:type="dxa"/>
          </w:tcPr>
          <w:p w:rsidR="009B3F01" w:rsidRPr="009B3F01" w:rsidRDefault="009B3F01" w:rsidP="00373C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Темп роста 2019 г. к 201</w:t>
            </w:r>
            <w:r w:rsidR="00373C8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г.,%</w:t>
            </w:r>
            <w:proofErr w:type="spellEnd"/>
          </w:p>
        </w:tc>
      </w:tr>
      <w:tr w:rsidR="009B3F01" w:rsidTr="003D0CCA">
        <w:tc>
          <w:tcPr>
            <w:tcW w:w="3256" w:type="dxa"/>
          </w:tcPr>
          <w:p w:rsidR="009B3F01" w:rsidRDefault="009B3F01" w:rsidP="009B3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1112" w:type="dxa"/>
          </w:tcPr>
          <w:p w:rsidR="009B3F01" w:rsidRDefault="00531297" w:rsidP="00DC19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1 143,2</w:t>
            </w:r>
          </w:p>
        </w:tc>
        <w:tc>
          <w:tcPr>
            <w:tcW w:w="1243" w:type="dxa"/>
          </w:tcPr>
          <w:p w:rsidR="009B3F01" w:rsidRDefault="00531297" w:rsidP="00DC19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1 355,9</w:t>
            </w:r>
          </w:p>
        </w:tc>
        <w:tc>
          <w:tcPr>
            <w:tcW w:w="1562" w:type="dxa"/>
          </w:tcPr>
          <w:p w:rsidR="009B3F01" w:rsidRDefault="00C34097" w:rsidP="000863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3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6371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231" w:type="dxa"/>
          </w:tcPr>
          <w:p w:rsidR="009B3F01" w:rsidRDefault="00373C8F" w:rsidP="00DC19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371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230" w:type="dxa"/>
          </w:tcPr>
          <w:p w:rsidR="009B3F01" w:rsidRDefault="00373C8F" w:rsidP="000863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6371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9B3F01" w:rsidTr="003D0CCA">
        <w:tc>
          <w:tcPr>
            <w:tcW w:w="3256" w:type="dxa"/>
          </w:tcPr>
          <w:p w:rsidR="009B3F01" w:rsidRDefault="009B3F01" w:rsidP="009B3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112" w:type="dxa"/>
          </w:tcPr>
          <w:p w:rsidR="009B3F01" w:rsidRDefault="00531297" w:rsidP="00DC19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1 129,3</w:t>
            </w:r>
          </w:p>
        </w:tc>
        <w:tc>
          <w:tcPr>
            <w:tcW w:w="1243" w:type="dxa"/>
          </w:tcPr>
          <w:p w:rsidR="009B3F01" w:rsidRDefault="00531297" w:rsidP="00DC19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1 367,7</w:t>
            </w:r>
          </w:p>
        </w:tc>
        <w:tc>
          <w:tcPr>
            <w:tcW w:w="1562" w:type="dxa"/>
          </w:tcPr>
          <w:p w:rsidR="009B3F01" w:rsidRPr="00C34097" w:rsidRDefault="00C34097" w:rsidP="00086371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3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3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73025" w:rsidRPr="007730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6371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231" w:type="dxa"/>
          </w:tcPr>
          <w:p w:rsidR="009B3F01" w:rsidRDefault="00373C8F" w:rsidP="00DC19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371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230" w:type="dxa"/>
          </w:tcPr>
          <w:p w:rsidR="009B3F01" w:rsidRDefault="00086371" w:rsidP="00DC19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</w:tr>
      <w:tr w:rsidR="009B3F01" w:rsidTr="003D0CCA">
        <w:tc>
          <w:tcPr>
            <w:tcW w:w="3256" w:type="dxa"/>
          </w:tcPr>
          <w:p w:rsidR="009B3F01" w:rsidRDefault="009B3F01" w:rsidP="009B3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297">
              <w:rPr>
                <w:rFonts w:ascii="Times New Roman" w:hAnsi="Times New Roman" w:cs="Times New Roman"/>
                <w:sz w:val="24"/>
                <w:szCs w:val="24"/>
              </w:rPr>
              <w:t xml:space="preserve">(-), </w:t>
            </w:r>
            <w:proofErr w:type="spellStart"/>
            <w:proofErr w:type="gramEnd"/>
            <w:r w:rsidR="00531297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="00531297">
              <w:rPr>
                <w:rFonts w:ascii="Times New Roman" w:hAnsi="Times New Roman" w:cs="Times New Roman"/>
                <w:sz w:val="24"/>
                <w:szCs w:val="24"/>
              </w:rPr>
              <w:t xml:space="preserve"> (+)</w:t>
            </w:r>
          </w:p>
        </w:tc>
        <w:tc>
          <w:tcPr>
            <w:tcW w:w="1112" w:type="dxa"/>
          </w:tcPr>
          <w:p w:rsidR="009B3F01" w:rsidRDefault="00531297" w:rsidP="00DC19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+13,9</w:t>
            </w:r>
          </w:p>
        </w:tc>
        <w:tc>
          <w:tcPr>
            <w:tcW w:w="1243" w:type="dxa"/>
          </w:tcPr>
          <w:p w:rsidR="009B3F01" w:rsidRDefault="00531297" w:rsidP="00DC19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-11,8</w:t>
            </w:r>
          </w:p>
        </w:tc>
        <w:tc>
          <w:tcPr>
            <w:tcW w:w="1562" w:type="dxa"/>
          </w:tcPr>
          <w:p w:rsidR="009B3F01" w:rsidRDefault="00086371" w:rsidP="00DC1991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  <w:p w:rsidR="00773025" w:rsidRPr="00C34097" w:rsidRDefault="00773025" w:rsidP="00DC1991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1" w:type="dxa"/>
          </w:tcPr>
          <w:p w:rsidR="009B3F01" w:rsidRDefault="009B3F01" w:rsidP="00DC19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9B3F01" w:rsidRDefault="009B3F01" w:rsidP="00DC19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F01" w:rsidTr="003D0CCA">
        <w:tc>
          <w:tcPr>
            <w:tcW w:w="3256" w:type="dxa"/>
          </w:tcPr>
          <w:p w:rsidR="009B3F01" w:rsidRDefault="009B3F01" w:rsidP="005312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дефицита</w:t>
            </w:r>
            <w:r w:rsidR="0053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2" w:type="dxa"/>
          </w:tcPr>
          <w:p w:rsidR="009B3F01" w:rsidRDefault="00531297" w:rsidP="00DC19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</w:tcPr>
          <w:p w:rsidR="009B3F01" w:rsidRDefault="00531297" w:rsidP="00DC19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1,5%</w:t>
            </w:r>
          </w:p>
        </w:tc>
        <w:tc>
          <w:tcPr>
            <w:tcW w:w="1562" w:type="dxa"/>
          </w:tcPr>
          <w:p w:rsidR="009B3F01" w:rsidRDefault="00086371" w:rsidP="00DC19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9B3F01" w:rsidRDefault="009B3F01" w:rsidP="00DC19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9B3F01" w:rsidRDefault="009B3F01" w:rsidP="00DC19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F01" w:rsidTr="003D0CCA">
        <w:tc>
          <w:tcPr>
            <w:tcW w:w="3256" w:type="dxa"/>
          </w:tcPr>
          <w:p w:rsidR="009B3F01" w:rsidRDefault="009B3F01" w:rsidP="009B3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долг</w:t>
            </w:r>
          </w:p>
        </w:tc>
        <w:tc>
          <w:tcPr>
            <w:tcW w:w="1112" w:type="dxa"/>
          </w:tcPr>
          <w:p w:rsidR="009B3F01" w:rsidRDefault="00531297" w:rsidP="00DC19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</w:tcPr>
          <w:p w:rsidR="009B3F01" w:rsidRDefault="00531297" w:rsidP="00DC19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:rsidR="009B3F01" w:rsidRDefault="00531297" w:rsidP="00DC19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</w:tcPr>
          <w:p w:rsidR="009B3F01" w:rsidRDefault="009B3F01" w:rsidP="00DC19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9B3F01" w:rsidRDefault="009B3F01" w:rsidP="00DC19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F01" w:rsidRDefault="009B3F01" w:rsidP="00DC199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1991" w:rsidRDefault="00DC1991" w:rsidP="00DC199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B68C7" w:rsidRDefault="002A2013" w:rsidP="002A20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Прогноз характеристик бюджета муниципального</w:t>
      </w:r>
    </w:p>
    <w:p w:rsidR="002A2013" w:rsidRPr="002A2013" w:rsidRDefault="002A2013" w:rsidP="002A20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Бодайбо и района на период до 2025 года</w:t>
      </w:r>
    </w:p>
    <w:p w:rsidR="00D440EE" w:rsidRDefault="00D440EE" w:rsidP="00D440EE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Прогноз доходов сформирован исходя из расчетов, представленных администраторами доходов бюджета, с учетом нормативов отчислений от федеральных и региональных налогов и сборов, установленных Бюджетным кодексом Российской Федерации, законом Иркутской области от 22.10.2013 №74-ОЗ «О межбюджетных трансфертах и нормативах отчислений доходов в местные бюджеты». При составлении Бюджетного прогноза учтены следующие основные изменения</w:t>
      </w:r>
      <w:r w:rsidR="00373C8F">
        <w:rPr>
          <w:rFonts w:ascii="Times New Roman" w:hAnsi="Times New Roman" w:cs="Times New Roman"/>
          <w:sz w:val="24"/>
          <w:szCs w:val="24"/>
        </w:rPr>
        <w:t xml:space="preserve"> бюджетного и</w:t>
      </w:r>
      <w:r>
        <w:rPr>
          <w:rFonts w:ascii="Times New Roman" w:hAnsi="Times New Roman" w:cs="Times New Roman"/>
          <w:sz w:val="24"/>
          <w:szCs w:val="24"/>
        </w:rPr>
        <w:t xml:space="preserve"> налогового законодательства:</w:t>
      </w:r>
    </w:p>
    <w:p w:rsidR="00D440EE" w:rsidRDefault="00D440EE" w:rsidP="00D440EE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 соответствии с Федеральным законом от 02.06.2016 №178-ФЗ «О внесении изменений в статью 346.32 части второй Налогового кодекса Российской Федерации и статью 5 Федерального закона «О внесении изменений в часть первую и часть вторую Налогового кодекса Российской Федерации и статью 26 Федерального закона «О банках и банковской деятельности» с 1 января 2021 года отменяется система налогообложения в виде единого налога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вмененный доход для отдельных видов деятельности.</w:t>
      </w:r>
    </w:p>
    <w:p w:rsidR="00373C8F" w:rsidRDefault="00373C8F" w:rsidP="00D440EE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федеральным законом от 15.04.2019 №62</w:t>
      </w:r>
      <w:r w:rsidR="003A67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ФЗ «О вн</w:t>
      </w:r>
      <w:r w:rsidR="003A670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сении изменений в Бюджетный кодекс Российской Федерации»</w:t>
      </w:r>
      <w:r w:rsidR="003A6705">
        <w:rPr>
          <w:rFonts w:ascii="Times New Roman" w:hAnsi="Times New Roman" w:cs="Times New Roman"/>
          <w:sz w:val="24"/>
          <w:szCs w:val="24"/>
        </w:rPr>
        <w:t xml:space="preserve"> изменены нормативы зачисления в бюджеты муниципальных районов платы за негативное воздействие на окружающую среду</w:t>
      </w:r>
      <w:r w:rsidR="00CA4475">
        <w:rPr>
          <w:rFonts w:ascii="Times New Roman" w:hAnsi="Times New Roman" w:cs="Times New Roman"/>
          <w:sz w:val="24"/>
          <w:szCs w:val="24"/>
        </w:rPr>
        <w:t xml:space="preserve"> </w:t>
      </w:r>
      <w:r w:rsidR="002177CC">
        <w:rPr>
          <w:rFonts w:ascii="Times New Roman" w:hAnsi="Times New Roman" w:cs="Times New Roman"/>
          <w:sz w:val="24"/>
          <w:szCs w:val="24"/>
        </w:rPr>
        <w:t>(с 2020 года увеличится с 55% до 60%)</w:t>
      </w:r>
      <w:r w:rsidR="003A6705">
        <w:rPr>
          <w:rFonts w:ascii="Times New Roman" w:hAnsi="Times New Roman" w:cs="Times New Roman"/>
          <w:sz w:val="24"/>
          <w:szCs w:val="24"/>
        </w:rPr>
        <w:t>, а также по штрафам, санкциям, возмещению ущерба.</w:t>
      </w:r>
      <w:r w:rsidR="002177CC">
        <w:rPr>
          <w:rFonts w:ascii="Times New Roman" w:hAnsi="Times New Roman" w:cs="Times New Roman"/>
          <w:sz w:val="24"/>
          <w:szCs w:val="24"/>
        </w:rPr>
        <w:t xml:space="preserve"> В связи с тем, что главные администраторы доходов платежей по штрафам, санкциям, возмещениям ущерба не представили информацию об ожидаемых поступлениях, запланировано снижение данных поступлений, в дальнейшем планируется внести изменения в Бюджетный прогноз, уточнив ожидаемые поступления данных платежей.</w:t>
      </w:r>
    </w:p>
    <w:p w:rsidR="00D440EE" w:rsidRDefault="00D440EE" w:rsidP="00D440EE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Объем безвозмездных поступлений определен на основании проекта закона Иркутской </w:t>
      </w:r>
      <w:r w:rsidRPr="00AA78FB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AA78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"Об областном бюджете на 2020 год и на плановый период 2021 и 2022 годов"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 2023 года объем безвозмездных поступлений сохранен на уровне 2022 года.</w:t>
      </w:r>
    </w:p>
    <w:p w:rsidR="003B68C7" w:rsidRDefault="00C34097" w:rsidP="00D440EE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0F5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Прогноз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расходн</w:t>
      </w:r>
      <w:r w:rsidR="000F5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 части бюджета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F5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осуществлен исходя из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прогноз</w:t>
      </w:r>
      <w:r w:rsidR="000F5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ируемого объема доходов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F5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учетом существующих ограничений по размеру дефицита не более 10% от прогнозируемого общего объема доходов без учета безвозмездных поступлений.</w:t>
      </w:r>
    </w:p>
    <w:p w:rsidR="00082AC5" w:rsidRDefault="00082AC5" w:rsidP="00D440EE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82AC5" w:rsidRDefault="00082AC5" w:rsidP="00082AC5">
      <w:pPr>
        <w:spacing w:line="240" w:lineRule="auto"/>
        <w:ind w:left="-284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Показатели объема муниципального долга</w:t>
      </w:r>
    </w:p>
    <w:p w:rsidR="00082AC5" w:rsidRDefault="00082AC5" w:rsidP="00082AC5">
      <w:pPr>
        <w:spacing w:line="240" w:lineRule="auto"/>
        <w:ind w:left="-284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B68C7" w:rsidRDefault="00082AC5" w:rsidP="008B31E0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</w:t>
      </w:r>
      <w:r w:rsidR="0079471C" w:rsidRPr="00794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Решениями Думы</w:t>
      </w:r>
      <w:r w:rsidR="007947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94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бюджете муниципального образования </w:t>
      </w:r>
      <w:proofErr w:type="gramStart"/>
      <w:r w:rsidR="00794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="00794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Бодайбо и района ежегодно утверждается </w:t>
      </w:r>
      <w:r w:rsidR="0079471C" w:rsidRPr="00794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</w:t>
      </w:r>
      <w:r w:rsidR="00794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79471C" w:rsidRPr="00794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муниципальных внутренних заимствований</w:t>
      </w:r>
      <w:r w:rsidR="00794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которой планируется получение кредитов от кредитных организаций на сумму планируемого дефицита бюджета. При фактическом исполнении бюджета</w:t>
      </w:r>
      <w:r w:rsidR="00C7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ежегодно</w:t>
      </w:r>
      <w:r w:rsidR="00794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покрытия дефицита достаточно остатков средств</w:t>
      </w:r>
      <w:r w:rsidR="00C7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счете по учету средств бюджета</w:t>
      </w:r>
      <w:r w:rsidR="00794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</w:t>
      </w:r>
      <w:r w:rsidR="00C7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ложившихся на начало года</w:t>
      </w:r>
      <w:r w:rsidR="008B3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связи с фактическим получением сверх утвержденных доходов</w:t>
      </w:r>
      <w:r w:rsidR="00C7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Также экономия средств бюджета по результатам проведенных конкурсных процедур способствует отсутствию необходимости прибегать к заемным ресурсам. Подобная практика учитывается и при Бюджетном прогнозе на долгосрочный период. Поэтому основные параметры бюджета (доходы, расходы, дефицит) прогнозируются таким образом, что при фактическом исполнении бюджета муниципального образования </w:t>
      </w:r>
      <w:proofErr w:type="gramStart"/>
      <w:r w:rsidR="00C7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="00C7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Бодайбо и района муниципальный долг будет отсутствовать.</w:t>
      </w:r>
    </w:p>
    <w:p w:rsidR="008B31E0" w:rsidRDefault="008B31E0" w:rsidP="008B31E0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31E0" w:rsidRDefault="008B31E0" w:rsidP="008B31E0">
      <w:pPr>
        <w:spacing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Основные подходы</w:t>
      </w:r>
    </w:p>
    <w:p w:rsidR="008B31E0" w:rsidRDefault="008B31E0" w:rsidP="008B31E0">
      <w:pPr>
        <w:spacing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 формированию бюджетной политики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31E0" w:rsidRDefault="008B31E0" w:rsidP="008B31E0">
      <w:pPr>
        <w:spacing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Бодайбо и района на долгосрочный период</w:t>
      </w:r>
    </w:p>
    <w:p w:rsidR="009C1337" w:rsidRDefault="009C1337" w:rsidP="008B31E0">
      <w:pPr>
        <w:spacing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337" w:rsidRPr="009C1337" w:rsidRDefault="009C1337" w:rsidP="009C13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C1337">
        <w:rPr>
          <w:rFonts w:ascii="Times New Roman" w:eastAsia="Calibri" w:hAnsi="Times New Roman" w:cs="Times New Roman"/>
          <w:sz w:val="24"/>
          <w:szCs w:val="24"/>
        </w:rPr>
        <w:lastRenderedPageBreak/>
        <w:t>Для поддержания сбалансированности бюджета будет продолжено применение мер, направленных на увеличение собственной доходной базы, включение в бюджет в первоочередном порядке расходов на финансирование действующих расходных обязательств, принятия решений об установлении новых расходных обязательств только на основе тщательной оценки их эффективности и при наличии ресурсов для их гарантированного исполнения, сокращение неэффективных расходов.</w:t>
      </w:r>
      <w:proofErr w:type="gramEnd"/>
    </w:p>
    <w:p w:rsidR="009C1337" w:rsidRPr="009C1337" w:rsidRDefault="009C1337" w:rsidP="009C13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337">
        <w:rPr>
          <w:rFonts w:ascii="Times New Roman" w:eastAsia="Calibri" w:hAnsi="Times New Roman" w:cs="Times New Roman"/>
          <w:sz w:val="24"/>
          <w:szCs w:val="24"/>
        </w:rPr>
        <w:t>Существенный резерв повышения эффективности бюджетных расходов лежит в области подготовки бюджетных решений. В борьбе за эффективное использование бюджетных сре</w:t>
      </w:r>
      <w:proofErr w:type="gramStart"/>
      <w:r w:rsidRPr="009C1337">
        <w:rPr>
          <w:rFonts w:ascii="Times New Roman" w:eastAsia="Calibri" w:hAnsi="Times New Roman" w:cs="Times New Roman"/>
          <w:sz w:val="24"/>
          <w:szCs w:val="24"/>
        </w:rPr>
        <w:t>дств тр</w:t>
      </w:r>
      <w:proofErr w:type="gramEnd"/>
      <w:r w:rsidRPr="009C1337">
        <w:rPr>
          <w:rFonts w:ascii="Times New Roman" w:eastAsia="Calibri" w:hAnsi="Times New Roman" w:cs="Times New Roman"/>
          <w:sz w:val="24"/>
          <w:szCs w:val="24"/>
        </w:rPr>
        <w:t xml:space="preserve">ебуется смещение акцента на оценку обоснованности решений. Необходимо активно использовать оценку эффективности бюджетных расходов уже на этапе планирования расходов. </w:t>
      </w:r>
    </w:p>
    <w:p w:rsidR="009C1337" w:rsidRPr="009C1337" w:rsidRDefault="009C1337" w:rsidP="009C13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формирование и исполнение бюджета МО г. Бодайбо и района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долгосрочной</w:t>
      </w:r>
      <w:r w:rsidRPr="009C1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перспективе будет осуществляться с учетом решения следующих основных задач:</w:t>
      </w:r>
    </w:p>
    <w:p w:rsidR="009C1337" w:rsidRPr="009C1337" w:rsidRDefault="009C1337" w:rsidP="009C133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3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Проведение политики сдерживания роста бюджетных расходов при безусловном исполнении действующих расходных обязательств. Принятие новых расходных обязательств только при условии наличия финансовых ресурсов на весь период их действия и соответствия их приоритетным направлениям социально-экономического развития.</w:t>
      </w:r>
    </w:p>
    <w:p w:rsidR="009C1337" w:rsidRPr="009C1337" w:rsidRDefault="009C1337" w:rsidP="009C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3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Концентрация финансовых ресурсов на приоритетных направлениях расходования бюджетных средств, в том числе доведение заработной платы отдельным категориям работников до установленных значений в рамках исполнения Указов Президента Российской Федерации от 7 мая 2012 года</w:t>
      </w:r>
      <w:r w:rsidR="00504DC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ежегодная индексация заработной платы.</w:t>
      </w:r>
    </w:p>
    <w:p w:rsidR="009C1337" w:rsidRPr="009C1337" w:rsidRDefault="009C1337" w:rsidP="009C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C1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Повышение эффективности расходования бюджетных средств, сокращение неэффективных расходов, в том числе в сфере муниципального управления, выявление и использование резервов для достижения планируемых результатов. </w:t>
      </w:r>
    </w:p>
    <w:p w:rsidR="009C1337" w:rsidRPr="009C1337" w:rsidRDefault="009C1337" w:rsidP="009C133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C1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Повышение эффективности и результативности имеющихся инструментов программно-целевого управления и </w:t>
      </w:r>
      <w:proofErr w:type="spellStart"/>
      <w:r w:rsidRPr="009C133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бюджетирования</w:t>
      </w:r>
      <w:proofErr w:type="spellEnd"/>
      <w:r w:rsidRPr="009C13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9C1337" w:rsidRPr="009C1337" w:rsidRDefault="009C1337" w:rsidP="009C13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C133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Повышение эффективности при определении поставщиков на поставку товаров, выполнения работ и оказание услуг для муниципальных нужд.</w:t>
      </w:r>
    </w:p>
    <w:p w:rsidR="009C1337" w:rsidRPr="009C1337" w:rsidRDefault="009C1337" w:rsidP="009C13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C133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Совершенствование механизмов муниципального финансового контроля.</w:t>
      </w:r>
    </w:p>
    <w:p w:rsidR="009C1337" w:rsidRPr="009C1337" w:rsidRDefault="009C1337" w:rsidP="009C13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продолжено развитие внутреннего муниципального финансового контроля и </w:t>
      </w:r>
      <w:proofErr w:type="gramStart"/>
      <w:r w:rsidRPr="009C13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C1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законодательства Российской Федерации о контрактной системе в сфере закупок товаров, работ, услуг для обеспечения муниципальных нужд.</w:t>
      </w:r>
    </w:p>
    <w:p w:rsidR="009C1337" w:rsidRPr="009C1337" w:rsidRDefault="009C1337" w:rsidP="009C13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Акцент проверок органом внутреннего муниципального финансового контроля с проверок соблюдения внутренних процедур ведения бюджетного учета все больше будет смещен </w:t>
      </w:r>
      <w:proofErr w:type="gramStart"/>
      <w:r w:rsidRPr="009C13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C13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1337" w:rsidRPr="009C1337" w:rsidRDefault="009C1337" w:rsidP="009C13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C13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C1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бюджетного законодательства РФ и иных нормативных правовых актов, регулирующих бюджетные правоотношения;</w:t>
      </w:r>
    </w:p>
    <w:p w:rsidR="009C1337" w:rsidRPr="009C1337" w:rsidRDefault="009C1337" w:rsidP="009C13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C13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C1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достоверностью отчетности о реализации муниципальных программ, в т.ч. отчетности об исполнении муниципальных заданий;</w:t>
      </w:r>
    </w:p>
    <w:p w:rsidR="009C1337" w:rsidRPr="009C1337" w:rsidRDefault="009C1337" w:rsidP="009C13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3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в сфере закупок;</w:t>
      </w:r>
    </w:p>
    <w:p w:rsidR="009C1337" w:rsidRPr="009C1337" w:rsidRDefault="009C1337" w:rsidP="009C13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оценку эффективности проводимого главными распорядителями бюджетных средств, главными администраторами доходов внутреннего финансового контроля и аудита.</w:t>
      </w:r>
    </w:p>
    <w:p w:rsidR="009C1337" w:rsidRDefault="009C1337" w:rsidP="009C13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C13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развивать систему внутреннего финансового контроля главными распорядителями бюджетных средств, главными администраторами доходов, т.к. это является управленческим инструментом, позволяющим оперативно и своевременно выявлять</w:t>
      </w:r>
      <w:r w:rsidR="00E12B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C1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устранять риски, возникающие при выполнении бюджетных процедур, и возможные последствия этих рисков, </w:t>
      </w:r>
      <w:r w:rsidRPr="009C13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существенно улучшить финансовую дисциплину участников бюджетного процесса.</w:t>
      </w:r>
    </w:p>
    <w:p w:rsidR="00055D4E" w:rsidRDefault="00055D4E" w:rsidP="009C13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55D4E" w:rsidRDefault="00055D4E" w:rsidP="00055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55D4E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ru-RU"/>
        </w:rPr>
        <w:t>V</w:t>
      </w:r>
      <w:r w:rsidRPr="00055D4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Предельные расходы на финансовое обеспечение реализации муниципальных программ</w:t>
      </w:r>
      <w:r w:rsidR="00CD5CD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муниципального образования </w:t>
      </w:r>
    </w:p>
    <w:p w:rsidR="00CD5CD5" w:rsidRDefault="00CD5CD5" w:rsidP="00055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г. Бодайбо и района на период их действия, прогноз расходов</w:t>
      </w:r>
    </w:p>
    <w:p w:rsidR="00CD5CD5" w:rsidRDefault="00CD5CD5" w:rsidP="00055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бюджета на осуществление </w:t>
      </w:r>
      <w:proofErr w:type="spellStart"/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непрограммных</w:t>
      </w:r>
      <w:proofErr w:type="spellEnd"/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направлений</w:t>
      </w:r>
    </w:p>
    <w:p w:rsidR="00CD5CD5" w:rsidRDefault="00CD5CD5" w:rsidP="00055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деятельности</w:t>
      </w:r>
    </w:p>
    <w:p w:rsidR="00CD5CD5" w:rsidRDefault="00CD5CD5" w:rsidP="00055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95FA6" w:rsidRDefault="00D95FA6" w:rsidP="00CD5C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Утверждение</w:t>
      </w:r>
      <w:r w:rsidR="00CD5CD5">
        <w:rPr>
          <w:rFonts w:ascii="Times New Roman" w:hAnsi="Times New Roman" w:cs="Times New Roman"/>
          <w:sz w:val="24"/>
          <w:szCs w:val="24"/>
        </w:rPr>
        <w:t xml:space="preserve"> Стратегии социально-экономического развития муниципального образования г. Бодайбо и района на период до 2030 года (Решение Думы г. Бодайбо и района от 14.12.2018 №25-па)</w:t>
      </w:r>
      <w:r>
        <w:rPr>
          <w:rFonts w:ascii="Times New Roman" w:hAnsi="Times New Roman" w:cs="Times New Roman"/>
          <w:sz w:val="24"/>
          <w:szCs w:val="24"/>
        </w:rPr>
        <w:t xml:space="preserve"> потребовало расширения перечня документов стратегического планирования, поэтому</w:t>
      </w:r>
      <w:r w:rsidR="00CD5CD5">
        <w:rPr>
          <w:rFonts w:ascii="Times New Roman" w:hAnsi="Times New Roman" w:cs="Times New Roman"/>
          <w:sz w:val="24"/>
          <w:szCs w:val="24"/>
        </w:rPr>
        <w:t xml:space="preserve"> </w:t>
      </w:r>
      <w:r w:rsidRPr="00D95F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принято решение о разработке муниципальных программ на тот же шестилетний период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 2020 по 2025 годы, что и </w:t>
      </w:r>
      <w:r w:rsidRPr="00D95F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долгосрочный прогноз социально-экономического развития муниципального образования г. Бодайбо и района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(одобрен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постановлением Администрации 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Бодайбо и района от22.10.2019 №182-п), а так же Бюджетный прогноз муниципального образования г. Бодайбо и района на период до 2025 года.</w:t>
      </w:r>
    </w:p>
    <w:p w:rsidR="00CD5CD5" w:rsidRDefault="00CD5CD5" w:rsidP="00CD5C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D5C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Предельные расходы на финансовое обеспечение реализации муниципальных программ муниципального образования </w:t>
      </w:r>
      <w:proofErr w:type="gramStart"/>
      <w:r w:rsidRPr="00CD5C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</w:t>
      </w:r>
      <w:proofErr w:type="gramEnd"/>
      <w:r w:rsidRPr="00CD5C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Бодайбо и района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BB6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 2020 по 2022 год спрогнозированы, исходя из ресурсного обеспечения реализации муниципальных программ, утвержденного соответствующими программами</w:t>
      </w:r>
      <w:r w:rsidR="003D0C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соответствуют показателям проекта бюджета муниципального образования г. Бодайбо и района на соответствующий финансовый год</w:t>
      </w:r>
      <w:r w:rsidR="00BB6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3D0C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="003D0C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Непрограммные</w:t>
      </w:r>
      <w:proofErr w:type="spellEnd"/>
      <w:r w:rsidR="003D0C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расходы на 2020-2022 годы также соответствуют показателям проекта бюджета муниципального образования </w:t>
      </w:r>
      <w:proofErr w:type="gramStart"/>
      <w:r w:rsidR="003D0C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</w:t>
      </w:r>
      <w:proofErr w:type="gramEnd"/>
      <w:r w:rsidR="003D0C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Бодайбо и района на соответствующий финансовый год.</w:t>
      </w:r>
    </w:p>
    <w:p w:rsidR="009C1337" w:rsidRDefault="00BB6924" w:rsidP="00BB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связи с тем, что ресурсное обеспечение по ряду муниципальных программ на 2023-2025 годы утверждено на уровне 2022 года, т.е. без учета индексации расходов, в бюджетном прогнозе </w:t>
      </w:r>
      <w:r w:rsidR="007A7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расходы за счет средств местного бюджета спрогнозированы с ростом, исходя из прогнозируемого объема доходов и прогнозируемого дефицита. При внесении изменений в муниципальные программы ресурсное обеспечение реализации </w:t>
      </w:r>
      <w:r w:rsidR="007A77FB" w:rsidRPr="00CD5C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муниципальных программ</w:t>
      </w:r>
      <w:r w:rsidR="007A77F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будет скорректировано.</w:t>
      </w:r>
    </w:p>
    <w:p w:rsidR="003D0CCA" w:rsidRDefault="003D0CCA" w:rsidP="00FA7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Непрограммные</w:t>
      </w:r>
      <w:proofErr w:type="spellEnd"/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расходы на 2023-2025 годы</w:t>
      </w:r>
      <w:r w:rsidR="004C4F56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в части функционирования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4C4F56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Думы </w:t>
      </w:r>
      <w:proofErr w:type="gramStart"/>
      <w:r w:rsidR="004C4F56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г</w:t>
      </w:r>
      <w:proofErr w:type="gramEnd"/>
      <w:r w:rsidR="004C4F56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. Бодайбо и района, Ревизионной комиссии г. Бодайбо и района предусмотрены с ежегодной индексацией расходов. Остальные </w:t>
      </w:r>
      <w:proofErr w:type="spellStart"/>
      <w:r w:rsidR="004C4F56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непрограммные</w:t>
      </w:r>
      <w:proofErr w:type="spellEnd"/>
      <w:r w:rsidR="004C4F56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направления на уровне 2022 года.</w:t>
      </w:r>
    </w:p>
    <w:p w:rsidR="00FA79C7" w:rsidRDefault="00FA79C7" w:rsidP="00FA7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основных характеристик Бюджета 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 представлен в приложении 1 к Бюджетному прогнозу муниципального образования г. Бодайбо и района на период до 2025 года.</w:t>
      </w:r>
    </w:p>
    <w:p w:rsidR="00FA79C7" w:rsidRDefault="00FA79C7" w:rsidP="00FA7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финансового обеспечения муниципальных программ 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 представлен в приложении 2 к Бюджетному прогнозу муниципального образования г. Бодайбо и района на период до 2025 года.</w:t>
      </w:r>
    </w:p>
    <w:p w:rsidR="007A77FB" w:rsidRDefault="007A77FB" w:rsidP="00FA79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7A77FB" w:rsidRDefault="007A77FB" w:rsidP="00FA79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7A77FB" w:rsidRDefault="007A77FB" w:rsidP="00FA79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7A77FB" w:rsidRDefault="007A77FB" w:rsidP="00FA79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7A77FB" w:rsidRDefault="007A77FB" w:rsidP="00FA79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7A77FB" w:rsidRDefault="007A77FB" w:rsidP="009C1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7A77FB" w:rsidRDefault="007A77FB" w:rsidP="009C1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7A77FB" w:rsidRDefault="007A77FB" w:rsidP="009C1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7A77FB" w:rsidRDefault="007A77FB" w:rsidP="009C1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7A77FB" w:rsidRDefault="007A77FB" w:rsidP="00F26900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F26900" w:rsidRDefault="00F26900" w:rsidP="00F26900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7A77FB" w:rsidRDefault="007A77FB" w:rsidP="009C1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5479E0" w:rsidRDefault="005479E0" w:rsidP="005479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479E0" w:rsidRDefault="005479E0" w:rsidP="005479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Бюджетному прогнозу</w:t>
      </w:r>
    </w:p>
    <w:p w:rsidR="005479E0" w:rsidRDefault="005479E0" w:rsidP="005479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479E0" w:rsidRDefault="005479E0" w:rsidP="005479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Бодайбо и района на период </w:t>
      </w:r>
    </w:p>
    <w:p w:rsidR="005479E0" w:rsidRDefault="005479E0" w:rsidP="005479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2025 года</w:t>
      </w:r>
    </w:p>
    <w:p w:rsidR="005479E0" w:rsidRDefault="005479E0" w:rsidP="005479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79E0" w:rsidRDefault="005479E0" w:rsidP="005479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основных характеристик</w:t>
      </w:r>
    </w:p>
    <w:p w:rsidR="005479E0" w:rsidRDefault="005479E0" w:rsidP="005479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муниципального образования</w:t>
      </w:r>
      <w:r w:rsidR="00E12B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</w:t>
      </w:r>
    </w:p>
    <w:p w:rsidR="00AF7B60" w:rsidRDefault="00AF7B60" w:rsidP="00AF7B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млн.</w:t>
      </w:r>
      <w:r w:rsidR="00E12B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Style w:val="a4"/>
        <w:tblW w:w="9918" w:type="dxa"/>
        <w:tblLook w:val="04A0"/>
      </w:tblPr>
      <w:tblGrid>
        <w:gridCol w:w="3114"/>
        <w:gridCol w:w="1134"/>
        <w:gridCol w:w="1134"/>
        <w:gridCol w:w="1134"/>
        <w:gridCol w:w="1134"/>
        <w:gridCol w:w="1134"/>
        <w:gridCol w:w="1134"/>
      </w:tblGrid>
      <w:tr w:rsidR="00AF7B60" w:rsidTr="00AF7B60">
        <w:trPr>
          <w:trHeight w:val="481"/>
        </w:trPr>
        <w:tc>
          <w:tcPr>
            <w:tcW w:w="3114" w:type="dxa"/>
            <w:vAlign w:val="center"/>
          </w:tcPr>
          <w:p w:rsidR="00AF7B60" w:rsidRPr="00AF7B60" w:rsidRDefault="00AF7B60" w:rsidP="00AF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6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AF7B60" w:rsidRPr="00AF7B60" w:rsidRDefault="00AF7B60" w:rsidP="00AF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60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1134" w:type="dxa"/>
            <w:vAlign w:val="center"/>
          </w:tcPr>
          <w:p w:rsidR="00AF7B60" w:rsidRPr="00AF7B60" w:rsidRDefault="00AF7B60" w:rsidP="00AF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60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134" w:type="dxa"/>
            <w:vAlign w:val="center"/>
          </w:tcPr>
          <w:p w:rsidR="00AF7B60" w:rsidRPr="00AF7B60" w:rsidRDefault="00AF7B60" w:rsidP="00AF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60">
              <w:rPr>
                <w:rFonts w:ascii="Times New Roman" w:hAnsi="Times New Roman" w:cs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1134" w:type="dxa"/>
            <w:vAlign w:val="center"/>
          </w:tcPr>
          <w:p w:rsidR="00AF7B60" w:rsidRPr="00AF7B60" w:rsidRDefault="00AF7B60" w:rsidP="00AF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60">
              <w:rPr>
                <w:rFonts w:ascii="Times New Roman" w:hAnsi="Times New Roman" w:cs="Times New Roman"/>
                <w:b/>
                <w:sz w:val="24"/>
                <w:szCs w:val="24"/>
              </w:rPr>
              <w:t>2023 г.</w:t>
            </w:r>
          </w:p>
        </w:tc>
        <w:tc>
          <w:tcPr>
            <w:tcW w:w="1134" w:type="dxa"/>
            <w:vAlign w:val="center"/>
          </w:tcPr>
          <w:p w:rsidR="00AF7B60" w:rsidRPr="00AF7B60" w:rsidRDefault="00AF7B60" w:rsidP="00AF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60">
              <w:rPr>
                <w:rFonts w:ascii="Times New Roman" w:hAnsi="Times New Roman" w:cs="Times New Roman"/>
                <w:b/>
                <w:sz w:val="24"/>
                <w:szCs w:val="24"/>
              </w:rPr>
              <w:t>2024 г.</w:t>
            </w:r>
          </w:p>
        </w:tc>
        <w:tc>
          <w:tcPr>
            <w:tcW w:w="1134" w:type="dxa"/>
            <w:vAlign w:val="center"/>
          </w:tcPr>
          <w:p w:rsidR="00AF7B60" w:rsidRPr="00AF7B60" w:rsidRDefault="00AF7B60" w:rsidP="00AF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60">
              <w:rPr>
                <w:rFonts w:ascii="Times New Roman" w:hAnsi="Times New Roman" w:cs="Times New Roman"/>
                <w:b/>
                <w:sz w:val="24"/>
                <w:szCs w:val="24"/>
              </w:rPr>
              <w:t>2025 г.</w:t>
            </w:r>
          </w:p>
        </w:tc>
      </w:tr>
      <w:tr w:rsidR="00AF7B60" w:rsidTr="00CC7599">
        <w:tc>
          <w:tcPr>
            <w:tcW w:w="3114" w:type="dxa"/>
          </w:tcPr>
          <w:p w:rsidR="00AF7B60" w:rsidRPr="00AF7B60" w:rsidRDefault="00AF7B60" w:rsidP="00AF7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 бюджета - всего</w:t>
            </w:r>
          </w:p>
        </w:tc>
        <w:tc>
          <w:tcPr>
            <w:tcW w:w="1134" w:type="dxa"/>
            <w:vAlign w:val="center"/>
          </w:tcPr>
          <w:p w:rsidR="00AF7B60" w:rsidRDefault="00A2597A" w:rsidP="005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1 445,6</w:t>
            </w:r>
          </w:p>
        </w:tc>
        <w:tc>
          <w:tcPr>
            <w:tcW w:w="1134" w:type="dxa"/>
            <w:vAlign w:val="center"/>
          </w:tcPr>
          <w:p w:rsidR="00AF7B60" w:rsidRDefault="00A2597A" w:rsidP="005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1 365,4</w:t>
            </w:r>
          </w:p>
        </w:tc>
        <w:tc>
          <w:tcPr>
            <w:tcW w:w="1134" w:type="dxa"/>
            <w:vAlign w:val="center"/>
          </w:tcPr>
          <w:p w:rsidR="00AF7B60" w:rsidRDefault="00A2597A" w:rsidP="005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1 408,0</w:t>
            </w:r>
          </w:p>
        </w:tc>
        <w:tc>
          <w:tcPr>
            <w:tcW w:w="1134" w:type="dxa"/>
            <w:vAlign w:val="center"/>
          </w:tcPr>
          <w:p w:rsidR="00AF7B60" w:rsidRDefault="00A2597A" w:rsidP="005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1 446,3</w:t>
            </w:r>
          </w:p>
        </w:tc>
        <w:tc>
          <w:tcPr>
            <w:tcW w:w="1134" w:type="dxa"/>
            <w:vAlign w:val="center"/>
          </w:tcPr>
          <w:p w:rsidR="00AF7B60" w:rsidRDefault="00A2597A" w:rsidP="005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1 486,1</w:t>
            </w:r>
          </w:p>
        </w:tc>
        <w:tc>
          <w:tcPr>
            <w:tcW w:w="1134" w:type="dxa"/>
            <w:vAlign w:val="center"/>
          </w:tcPr>
          <w:p w:rsidR="00AF7B60" w:rsidRDefault="00A2597A" w:rsidP="005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1 527,5</w:t>
            </w:r>
          </w:p>
        </w:tc>
      </w:tr>
      <w:tr w:rsidR="00AF7B60" w:rsidTr="00CC7599">
        <w:tc>
          <w:tcPr>
            <w:tcW w:w="3114" w:type="dxa"/>
          </w:tcPr>
          <w:p w:rsidR="00AF7B60" w:rsidRDefault="00AF7B60" w:rsidP="00AF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AF7B60" w:rsidRDefault="00AF7B60" w:rsidP="005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7B60" w:rsidRDefault="00AF7B60" w:rsidP="005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7B60" w:rsidRDefault="00AF7B60" w:rsidP="005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7B60" w:rsidRDefault="00AF7B60" w:rsidP="005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7B60" w:rsidRDefault="00AF7B60" w:rsidP="005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7B60" w:rsidRDefault="00AF7B60" w:rsidP="005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B60" w:rsidTr="00CC7599">
        <w:tc>
          <w:tcPr>
            <w:tcW w:w="3114" w:type="dxa"/>
          </w:tcPr>
          <w:p w:rsidR="00AF7B60" w:rsidRDefault="00AF7B60" w:rsidP="00AF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налоговые и неналоговые</w:t>
            </w:r>
          </w:p>
        </w:tc>
        <w:tc>
          <w:tcPr>
            <w:tcW w:w="1134" w:type="dxa"/>
            <w:vAlign w:val="center"/>
          </w:tcPr>
          <w:p w:rsidR="00AF7B60" w:rsidRDefault="00A2597A" w:rsidP="005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872,1</w:t>
            </w:r>
          </w:p>
        </w:tc>
        <w:tc>
          <w:tcPr>
            <w:tcW w:w="1134" w:type="dxa"/>
            <w:vAlign w:val="center"/>
          </w:tcPr>
          <w:p w:rsidR="00AF7B60" w:rsidRDefault="00A2597A" w:rsidP="005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913,8</w:t>
            </w:r>
          </w:p>
        </w:tc>
        <w:tc>
          <w:tcPr>
            <w:tcW w:w="1134" w:type="dxa"/>
            <w:vAlign w:val="center"/>
          </w:tcPr>
          <w:p w:rsidR="00AF7B60" w:rsidRDefault="00CC7599" w:rsidP="005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597A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134" w:type="dxa"/>
            <w:vAlign w:val="center"/>
          </w:tcPr>
          <w:p w:rsidR="00AF7B60" w:rsidRDefault="00A2597A" w:rsidP="005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995,6</w:t>
            </w:r>
          </w:p>
        </w:tc>
        <w:tc>
          <w:tcPr>
            <w:tcW w:w="1134" w:type="dxa"/>
            <w:vAlign w:val="center"/>
          </w:tcPr>
          <w:p w:rsidR="00AF7B60" w:rsidRDefault="00A2597A" w:rsidP="005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1035,4</w:t>
            </w:r>
          </w:p>
        </w:tc>
        <w:tc>
          <w:tcPr>
            <w:tcW w:w="1134" w:type="dxa"/>
            <w:vAlign w:val="center"/>
          </w:tcPr>
          <w:p w:rsidR="00AF7B60" w:rsidRDefault="00A2597A" w:rsidP="005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1076,8</w:t>
            </w:r>
          </w:p>
        </w:tc>
      </w:tr>
      <w:tr w:rsidR="00AF7B60" w:rsidTr="00CC7599">
        <w:tc>
          <w:tcPr>
            <w:tcW w:w="3114" w:type="dxa"/>
          </w:tcPr>
          <w:p w:rsidR="00AF7B60" w:rsidRPr="00AF7B60" w:rsidRDefault="00AF7B60" w:rsidP="00AF7B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Темпы роста налоговых и неналоговых доходов, %</w:t>
            </w:r>
          </w:p>
        </w:tc>
        <w:tc>
          <w:tcPr>
            <w:tcW w:w="1134" w:type="dxa"/>
            <w:vAlign w:val="center"/>
          </w:tcPr>
          <w:p w:rsidR="00AF7B60" w:rsidRDefault="006F5567" w:rsidP="005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  <w:vAlign w:val="center"/>
          </w:tcPr>
          <w:p w:rsidR="00AF7B60" w:rsidRDefault="006F5567" w:rsidP="005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  <w:vAlign w:val="center"/>
          </w:tcPr>
          <w:p w:rsidR="00AF7B60" w:rsidRDefault="006F5567" w:rsidP="005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  <w:vAlign w:val="center"/>
          </w:tcPr>
          <w:p w:rsidR="00AF7B60" w:rsidRDefault="006F5567" w:rsidP="005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vAlign w:val="center"/>
          </w:tcPr>
          <w:p w:rsidR="00AF7B60" w:rsidRDefault="006F5567" w:rsidP="005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vAlign w:val="center"/>
          </w:tcPr>
          <w:p w:rsidR="00AF7B60" w:rsidRDefault="006F5567" w:rsidP="005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F7B60" w:rsidTr="00CC7599">
        <w:tc>
          <w:tcPr>
            <w:tcW w:w="3114" w:type="dxa"/>
          </w:tcPr>
          <w:p w:rsidR="00AF7B60" w:rsidRDefault="00AF7B60" w:rsidP="00AF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безвозмездные поступления</w:t>
            </w:r>
          </w:p>
        </w:tc>
        <w:tc>
          <w:tcPr>
            <w:tcW w:w="1134" w:type="dxa"/>
            <w:vAlign w:val="center"/>
          </w:tcPr>
          <w:p w:rsidR="00AF7B60" w:rsidRDefault="006F5567" w:rsidP="005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573,5</w:t>
            </w:r>
          </w:p>
        </w:tc>
        <w:tc>
          <w:tcPr>
            <w:tcW w:w="1134" w:type="dxa"/>
            <w:vAlign w:val="center"/>
          </w:tcPr>
          <w:p w:rsidR="00AF7B60" w:rsidRDefault="006F5567" w:rsidP="005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451,6</w:t>
            </w:r>
          </w:p>
        </w:tc>
        <w:tc>
          <w:tcPr>
            <w:tcW w:w="1134" w:type="dxa"/>
            <w:vAlign w:val="center"/>
          </w:tcPr>
          <w:p w:rsidR="00AF7B60" w:rsidRDefault="006F5567" w:rsidP="005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450,7</w:t>
            </w:r>
          </w:p>
        </w:tc>
        <w:tc>
          <w:tcPr>
            <w:tcW w:w="1134" w:type="dxa"/>
            <w:vAlign w:val="center"/>
          </w:tcPr>
          <w:p w:rsidR="00AF7B60" w:rsidRDefault="006F5567" w:rsidP="005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450,7</w:t>
            </w:r>
          </w:p>
        </w:tc>
        <w:tc>
          <w:tcPr>
            <w:tcW w:w="1134" w:type="dxa"/>
            <w:vAlign w:val="center"/>
          </w:tcPr>
          <w:p w:rsidR="00AF7B60" w:rsidRDefault="006F5567" w:rsidP="005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450,7</w:t>
            </w:r>
          </w:p>
        </w:tc>
        <w:tc>
          <w:tcPr>
            <w:tcW w:w="1134" w:type="dxa"/>
            <w:vAlign w:val="center"/>
          </w:tcPr>
          <w:p w:rsidR="00AF7B60" w:rsidRDefault="006F5567" w:rsidP="005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450,7</w:t>
            </w:r>
          </w:p>
        </w:tc>
      </w:tr>
      <w:tr w:rsidR="00AF7B60" w:rsidTr="00CC7599">
        <w:tc>
          <w:tcPr>
            <w:tcW w:w="3114" w:type="dxa"/>
          </w:tcPr>
          <w:p w:rsidR="00AF7B60" w:rsidRPr="0001115C" w:rsidRDefault="0001115C" w:rsidP="00AF7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15C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бюджета - всего</w:t>
            </w:r>
          </w:p>
        </w:tc>
        <w:tc>
          <w:tcPr>
            <w:tcW w:w="1134" w:type="dxa"/>
            <w:vAlign w:val="center"/>
          </w:tcPr>
          <w:p w:rsidR="00AF7B60" w:rsidRDefault="00CC7599" w:rsidP="005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1531,1</w:t>
            </w:r>
          </w:p>
        </w:tc>
        <w:tc>
          <w:tcPr>
            <w:tcW w:w="1134" w:type="dxa"/>
            <w:vAlign w:val="center"/>
          </w:tcPr>
          <w:p w:rsidR="00AF7B60" w:rsidRDefault="00CC7599" w:rsidP="005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1447,7</w:t>
            </w:r>
          </w:p>
        </w:tc>
        <w:tc>
          <w:tcPr>
            <w:tcW w:w="1134" w:type="dxa"/>
            <w:vAlign w:val="center"/>
          </w:tcPr>
          <w:p w:rsidR="00AF7B60" w:rsidRDefault="00CC7599" w:rsidP="005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1498,4</w:t>
            </w:r>
          </w:p>
        </w:tc>
        <w:tc>
          <w:tcPr>
            <w:tcW w:w="1134" w:type="dxa"/>
            <w:vAlign w:val="center"/>
          </w:tcPr>
          <w:p w:rsidR="00AF7B60" w:rsidRDefault="00CC7599" w:rsidP="00CC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1536,5</w:t>
            </w:r>
          </w:p>
        </w:tc>
        <w:tc>
          <w:tcPr>
            <w:tcW w:w="1134" w:type="dxa"/>
            <w:vAlign w:val="center"/>
          </w:tcPr>
          <w:p w:rsidR="00AF7B60" w:rsidRDefault="00CC7599" w:rsidP="00CC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1576,2</w:t>
            </w:r>
          </w:p>
        </w:tc>
        <w:tc>
          <w:tcPr>
            <w:tcW w:w="1134" w:type="dxa"/>
            <w:vAlign w:val="center"/>
          </w:tcPr>
          <w:p w:rsidR="00CC7599" w:rsidRDefault="00CC7599" w:rsidP="00CC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1615,9</w:t>
            </w:r>
          </w:p>
        </w:tc>
      </w:tr>
      <w:tr w:rsidR="00AF7B60" w:rsidTr="00CC7599">
        <w:tc>
          <w:tcPr>
            <w:tcW w:w="3114" w:type="dxa"/>
          </w:tcPr>
          <w:p w:rsidR="00AF7B60" w:rsidRPr="0001115C" w:rsidRDefault="0001115C" w:rsidP="00AF7B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Темпы роста расходов, %</w:t>
            </w:r>
          </w:p>
        </w:tc>
        <w:tc>
          <w:tcPr>
            <w:tcW w:w="1134" w:type="dxa"/>
            <w:vAlign w:val="center"/>
          </w:tcPr>
          <w:p w:rsidR="00AF7B60" w:rsidRDefault="00CC7599" w:rsidP="005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AF7B60" w:rsidRDefault="00CC7599" w:rsidP="005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-0,9</w:t>
            </w:r>
          </w:p>
        </w:tc>
        <w:tc>
          <w:tcPr>
            <w:tcW w:w="1134" w:type="dxa"/>
            <w:vAlign w:val="center"/>
          </w:tcPr>
          <w:p w:rsidR="00AF7B60" w:rsidRDefault="00CC7599" w:rsidP="005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vAlign w:val="center"/>
          </w:tcPr>
          <w:p w:rsidR="00AF7B60" w:rsidRDefault="00CC7599" w:rsidP="005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vAlign w:val="center"/>
          </w:tcPr>
          <w:p w:rsidR="00AF7B60" w:rsidRDefault="00CC7599" w:rsidP="005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34" w:type="dxa"/>
            <w:vAlign w:val="center"/>
          </w:tcPr>
          <w:p w:rsidR="00AF7B60" w:rsidRDefault="00CC7599" w:rsidP="00CC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F7B60" w:rsidTr="00CC7599">
        <w:tc>
          <w:tcPr>
            <w:tcW w:w="3114" w:type="dxa"/>
          </w:tcPr>
          <w:p w:rsidR="00AF7B60" w:rsidRPr="0001115C" w:rsidRDefault="0001115C" w:rsidP="00AF7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Дефицит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(-)/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Профицит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(+)</w:t>
            </w:r>
          </w:p>
        </w:tc>
        <w:tc>
          <w:tcPr>
            <w:tcW w:w="1134" w:type="dxa"/>
            <w:vAlign w:val="center"/>
          </w:tcPr>
          <w:p w:rsidR="00AF7B60" w:rsidRDefault="00CC7599" w:rsidP="005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-85,5</w:t>
            </w:r>
          </w:p>
        </w:tc>
        <w:tc>
          <w:tcPr>
            <w:tcW w:w="1134" w:type="dxa"/>
            <w:vAlign w:val="center"/>
          </w:tcPr>
          <w:p w:rsidR="00AF7B60" w:rsidRDefault="00CC7599" w:rsidP="005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-82,3</w:t>
            </w:r>
          </w:p>
        </w:tc>
        <w:tc>
          <w:tcPr>
            <w:tcW w:w="1134" w:type="dxa"/>
            <w:vAlign w:val="center"/>
          </w:tcPr>
          <w:p w:rsidR="00AF7B60" w:rsidRDefault="00CC7599" w:rsidP="005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-90,4</w:t>
            </w:r>
          </w:p>
        </w:tc>
        <w:tc>
          <w:tcPr>
            <w:tcW w:w="1134" w:type="dxa"/>
            <w:vAlign w:val="center"/>
          </w:tcPr>
          <w:p w:rsidR="00AF7B60" w:rsidRDefault="00CC7599" w:rsidP="005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-94,0</w:t>
            </w:r>
          </w:p>
        </w:tc>
        <w:tc>
          <w:tcPr>
            <w:tcW w:w="1134" w:type="dxa"/>
            <w:vAlign w:val="center"/>
          </w:tcPr>
          <w:p w:rsidR="00AF7B60" w:rsidRDefault="00CC7599" w:rsidP="005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-90,1</w:t>
            </w:r>
          </w:p>
        </w:tc>
        <w:tc>
          <w:tcPr>
            <w:tcW w:w="1134" w:type="dxa"/>
            <w:vAlign w:val="center"/>
          </w:tcPr>
          <w:p w:rsidR="00AF7B60" w:rsidRDefault="00CC7599" w:rsidP="00CC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-88,4</w:t>
            </w:r>
          </w:p>
        </w:tc>
      </w:tr>
      <w:tr w:rsidR="0001115C" w:rsidTr="00CC7599">
        <w:tc>
          <w:tcPr>
            <w:tcW w:w="3114" w:type="dxa"/>
          </w:tcPr>
          <w:p w:rsidR="0001115C" w:rsidRPr="0001115C" w:rsidRDefault="0001115C" w:rsidP="00AF7B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Отношение дефицита к общему годовому объему доходов бюджета без учета объема безвозмездных поступлений (в процентах)</w:t>
            </w:r>
          </w:p>
        </w:tc>
        <w:tc>
          <w:tcPr>
            <w:tcW w:w="1134" w:type="dxa"/>
            <w:vAlign w:val="center"/>
          </w:tcPr>
          <w:p w:rsidR="0001115C" w:rsidRDefault="00CC7599" w:rsidP="005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134" w:type="dxa"/>
            <w:vAlign w:val="center"/>
          </w:tcPr>
          <w:p w:rsidR="0001115C" w:rsidRDefault="00CC7599" w:rsidP="005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01115C" w:rsidRDefault="00CC7599" w:rsidP="005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134" w:type="dxa"/>
            <w:vAlign w:val="center"/>
          </w:tcPr>
          <w:p w:rsidR="0001115C" w:rsidRDefault="00CC7599" w:rsidP="005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134" w:type="dxa"/>
            <w:vAlign w:val="center"/>
          </w:tcPr>
          <w:p w:rsidR="0001115C" w:rsidRDefault="00CC7599" w:rsidP="0054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134" w:type="dxa"/>
            <w:vAlign w:val="center"/>
          </w:tcPr>
          <w:p w:rsidR="0001115C" w:rsidRDefault="00CC7599" w:rsidP="00CC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AF7B60" w:rsidTr="00CC7599">
        <w:tc>
          <w:tcPr>
            <w:tcW w:w="3114" w:type="dxa"/>
          </w:tcPr>
          <w:p w:rsidR="00AF7B60" w:rsidRPr="0001115C" w:rsidRDefault="0001115C" w:rsidP="00AF7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долг</w:t>
            </w:r>
          </w:p>
        </w:tc>
        <w:tc>
          <w:tcPr>
            <w:tcW w:w="1134" w:type="dxa"/>
            <w:vAlign w:val="center"/>
          </w:tcPr>
          <w:p w:rsidR="00AF7B60" w:rsidRDefault="00CC7599" w:rsidP="00CC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F7B60" w:rsidRDefault="00CC7599" w:rsidP="00CC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F7B60" w:rsidRDefault="00CC7599" w:rsidP="00CC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F7B60" w:rsidRDefault="00CC7599" w:rsidP="00CC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F7B60" w:rsidRDefault="00CC7599" w:rsidP="00CC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F7B60" w:rsidRDefault="00CC7599" w:rsidP="00CC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F7B60" w:rsidRDefault="00AF7B60" w:rsidP="005479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79E0" w:rsidRDefault="005479E0" w:rsidP="002C0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79E0" w:rsidRDefault="005479E0" w:rsidP="002C0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79E0" w:rsidRDefault="005479E0" w:rsidP="002C0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79E0" w:rsidRDefault="005479E0" w:rsidP="002C0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0E5B" w:rsidRDefault="002C0E5B" w:rsidP="002C0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6A5C" w:rsidRDefault="00FE6A5C" w:rsidP="002C0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6A5C" w:rsidRDefault="00FE6A5C" w:rsidP="002C0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6A5C" w:rsidRDefault="00FE6A5C" w:rsidP="002C0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6A5C" w:rsidRDefault="00FE6A5C" w:rsidP="002C0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6A5C" w:rsidRDefault="00FE6A5C" w:rsidP="002C0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6A5C" w:rsidRDefault="00FE6A5C" w:rsidP="002C0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6A5C" w:rsidRDefault="00FE6A5C" w:rsidP="002C0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6A5C" w:rsidRDefault="00FE6A5C" w:rsidP="002C0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6A5C" w:rsidRDefault="00FE6A5C" w:rsidP="002C0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6A5C" w:rsidRDefault="00FE6A5C" w:rsidP="00FE6A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E6A5C" w:rsidRDefault="00FE6A5C" w:rsidP="00FE6A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Бюджетному прогнозу</w:t>
      </w:r>
    </w:p>
    <w:p w:rsidR="00FE6A5C" w:rsidRDefault="00FE6A5C" w:rsidP="00FE6A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E6A5C" w:rsidRDefault="00FE6A5C" w:rsidP="00FE6A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Бодайбо и района на период </w:t>
      </w:r>
    </w:p>
    <w:p w:rsidR="00FE6A5C" w:rsidRDefault="00FE6A5C" w:rsidP="00FE6A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2025 года</w:t>
      </w:r>
    </w:p>
    <w:p w:rsidR="00FE6A5C" w:rsidRDefault="00FE6A5C" w:rsidP="00FE6A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6A5C" w:rsidRDefault="00FE6A5C" w:rsidP="00FE6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финансового обеспечения муниципальных программ 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</w:t>
      </w:r>
    </w:p>
    <w:p w:rsidR="00FE6A5C" w:rsidRDefault="00FE6A5C" w:rsidP="00FE6A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млн.</w:t>
      </w:r>
      <w:r w:rsidR="00E12B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Style w:val="a4"/>
        <w:tblW w:w="10766" w:type="dxa"/>
        <w:tblInd w:w="-856" w:type="dxa"/>
        <w:tblLook w:val="04A0"/>
      </w:tblPr>
      <w:tblGrid>
        <w:gridCol w:w="822"/>
        <w:gridCol w:w="3338"/>
        <w:gridCol w:w="1101"/>
        <w:gridCol w:w="1101"/>
        <w:gridCol w:w="1101"/>
        <w:gridCol w:w="1101"/>
        <w:gridCol w:w="1101"/>
        <w:gridCol w:w="1101"/>
      </w:tblGrid>
      <w:tr w:rsidR="00FE6A5C" w:rsidTr="00FE6A5C">
        <w:trPr>
          <w:trHeight w:val="481"/>
        </w:trPr>
        <w:tc>
          <w:tcPr>
            <w:tcW w:w="822" w:type="dxa"/>
          </w:tcPr>
          <w:p w:rsidR="00FE6A5C" w:rsidRPr="00AF7B60" w:rsidRDefault="00FE6A5C" w:rsidP="00CE2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338" w:type="dxa"/>
            <w:vAlign w:val="center"/>
          </w:tcPr>
          <w:p w:rsidR="00FE6A5C" w:rsidRPr="00AF7B60" w:rsidRDefault="00FE6A5C" w:rsidP="00CE2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6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01" w:type="dxa"/>
            <w:vAlign w:val="center"/>
          </w:tcPr>
          <w:p w:rsidR="00FE6A5C" w:rsidRPr="00AF7B60" w:rsidRDefault="00FE6A5C" w:rsidP="00CE2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60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1101" w:type="dxa"/>
            <w:vAlign w:val="center"/>
          </w:tcPr>
          <w:p w:rsidR="00FE6A5C" w:rsidRPr="00AF7B60" w:rsidRDefault="00FE6A5C" w:rsidP="00CE2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60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101" w:type="dxa"/>
            <w:vAlign w:val="center"/>
          </w:tcPr>
          <w:p w:rsidR="00FE6A5C" w:rsidRPr="00AF7B60" w:rsidRDefault="00FE6A5C" w:rsidP="00CE2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60">
              <w:rPr>
                <w:rFonts w:ascii="Times New Roman" w:hAnsi="Times New Roman" w:cs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1101" w:type="dxa"/>
            <w:vAlign w:val="center"/>
          </w:tcPr>
          <w:p w:rsidR="00FE6A5C" w:rsidRPr="00AF7B60" w:rsidRDefault="00FE6A5C" w:rsidP="00CE2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60">
              <w:rPr>
                <w:rFonts w:ascii="Times New Roman" w:hAnsi="Times New Roman" w:cs="Times New Roman"/>
                <w:b/>
                <w:sz w:val="24"/>
                <w:szCs w:val="24"/>
              </w:rPr>
              <w:t>2023 г.</w:t>
            </w:r>
          </w:p>
        </w:tc>
        <w:tc>
          <w:tcPr>
            <w:tcW w:w="1101" w:type="dxa"/>
            <w:vAlign w:val="center"/>
          </w:tcPr>
          <w:p w:rsidR="00FE6A5C" w:rsidRPr="00AF7B60" w:rsidRDefault="00FE6A5C" w:rsidP="00CE2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60">
              <w:rPr>
                <w:rFonts w:ascii="Times New Roman" w:hAnsi="Times New Roman" w:cs="Times New Roman"/>
                <w:b/>
                <w:sz w:val="24"/>
                <w:szCs w:val="24"/>
              </w:rPr>
              <w:t>2024 г.</w:t>
            </w:r>
          </w:p>
        </w:tc>
        <w:tc>
          <w:tcPr>
            <w:tcW w:w="1101" w:type="dxa"/>
            <w:vAlign w:val="center"/>
          </w:tcPr>
          <w:p w:rsidR="00FE6A5C" w:rsidRPr="00AF7B60" w:rsidRDefault="00FE6A5C" w:rsidP="00CE2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60">
              <w:rPr>
                <w:rFonts w:ascii="Times New Roman" w:hAnsi="Times New Roman" w:cs="Times New Roman"/>
                <w:b/>
                <w:sz w:val="24"/>
                <w:szCs w:val="24"/>
              </w:rPr>
              <w:t>2025 г.</w:t>
            </w:r>
          </w:p>
        </w:tc>
      </w:tr>
      <w:tr w:rsidR="00FE6A5C" w:rsidTr="00FE6A5C">
        <w:tc>
          <w:tcPr>
            <w:tcW w:w="822" w:type="dxa"/>
          </w:tcPr>
          <w:p w:rsidR="00FE6A5C" w:rsidRPr="0001115C" w:rsidRDefault="00FE6A5C" w:rsidP="00FE6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38" w:type="dxa"/>
          </w:tcPr>
          <w:p w:rsidR="00FE6A5C" w:rsidRPr="0001115C" w:rsidRDefault="00FE6A5C" w:rsidP="00CE2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15C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бюджета - всего</w:t>
            </w:r>
          </w:p>
        </w:tc>
        <w:tc>
          <w:tcPr>
            <w:tcW w:w="1101" w:type="dxa"/>
            <w:vAlign w:val="center"/>
          </w:tcPr>
          <w:p w:rsidR="00FE6A5C" w:rsidRPr="00FE6A5C" w:rsidRDefault="00FE6A5C" w:rsidP="00CE2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A5C">
              <w:rPr>
                <w:rFonts w:ascii="Times New Roman" w:hAnsi="Times New Roman" w:cs="Times New Roman"/>
                <w:b/>
                <w:sz w:val="24"/>
                <w:szCs w:val="24"/>
              </w:rPr>
              <w:t>1 531,1</w:t>
            </w:r>
          </w:p>
        </w:tc>
        <w:tc>
          <w:tcPr>
            <w:tcW w:w="1101" w:type="dxa"/>
            <w:vAlign w:val="center"/>
          </w:tcPr>
          <w:p w:rsidR="00FE6A5C" w:rsidRPr="00FE6A5C" w:rsidRDefault="00FE6A5C" w:rsidP="00CE2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1 447,7</w:t>
            </w:r>
          </w:p>
        </w:tc>
        <w:tc>
          <w:tcPr>
            <w:tcW w:w="1101" w:type="dxa"/>
            <w:vAlign w:val="center"/>
          </w:tcPr>
          <w:p w:rsidR="00FE6A5C" w:rsidRPr="00FE6A5C" w:rsidRDefault="00FE6A5C" w:rsidP="00CE2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1 498,4</w:t>
            </w:r>
          </w:p>
        </w:tc>
        <w:tc>
          <w:tcPr>
            <w:tcW w:w="1101" w:type="dxa"/>
            <w:vAlign w:val="center"/>
          </w:tcPr>
          <w:p w:rsidR="00FE6A5C" w:rsidRPr="00FE6A5C" w:rsidRDefault="00FE6A5C" w:rsidP="00CE2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1 536,5</w:t>
            </w:r>
          </w:p>
        </w:tc>
        <w:tc>
          <w:tcPr>
            <w:tcW w:w="1101" w:type="dxa"/>
            <w:vAlign w:val="center"/>
          </w:tcPr>
          <w:p w:rsidR="00FE6A5C" w:rsidRPr="00FE6A5C" w:rsidRDefault="00FE6A5C" w:rsidP="00CE2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1 576,2</w:t>
            </w:r>
          </w:p>
        </w:tc>
        <w:tc>
          <w:tcPr>
            <w:tcW w:w="1101" w:type="dxa"/>
            <w:vAlign w:val="center"/>
          </w:tcPr>
          <w:p w:rsidR="00FE6A5C" w:rsidRPr="00FE6A5C" w:rsidRDefault="00FE6A5C" w:rsidP="00CE2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1 615,9</w:t>
            </w:r>
          </w:p>
        </w:tc>
      </w:tr>
      <w:tr w:rsidR="00FE6A5C" w:rsidRPr="00FE6A5C" w:rsidTr="00FE6A5C">
        <w:tc>
          <w:tcPr>
            <w:tcW w:w="822" w:type="dxa"/>
          </w:tcPr>
          <w:p w:rsidR="00FE6A5C" w:rsidRPr="00FE6A5C" w:rsidRDefault="00FE6A5C" w:rsidP="00FE6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</w:tcPr>
          <w:p w:rsidR="00FE6A5C" w:rsidRPr="00FE6A5C" w:rsidRDefault="00FE6A5C" w:rsidP="00CE2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A5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01" w:type="dxa"/>
            <w:vAlign w:val="center"/>
          </w:tcPr>
          <w:p w:rsidR="00FE6A5C" w:rsidRPr="00FE6A5C" w:rsidRDefault="00FE6A5C" w:rsidP="00CE2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FE6A5C" w:rsidRPr="00FE6A5C" w:rsidRDefault="00FE6A5C" w:rsidP="00CE2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FE6A5C" w:rsidRPr="00FE6A5C" w:rsidRDefault="00FE6A5C" w:rsidP="00CE2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FE6A5C" w:rsidRPr="00FE6A5C" w:rsidRDefault="00FE6A5C" w:rsidP="00CE2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FE6A5C" w:rsidRPr="00FE6A5C" w:rsidRDefault="00FE6A5C" w:rsidP="00CE2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FE6A5C" w:rsidRPr="00FE6A5C" w:rsidRDefault="00FE6A5C" w:rsidP="00CE2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A5C" w:rsidRPr="00FE6A5C" w:rsidTr="00FE6A5C">
        <w:tc>
          <w:tcPr>
            <w:tcW w:w="822" w:type="dxa"/>
          </w:tcPr>
          <w:p w:rsidR="00FE6A5C" w:rsidRPr="00FE6A5C" w:rsidRDefault="00FE6A5C" w:rsidP="00FE6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A5C">
              <w:rPr>
                <w:rFonts w:ascii="Times New Roman" w:hAnsi="Times New Roman" w:cs="Times New Roman"/>
                <w:b/>
                <w:sz w:val="20"/>
                <w:szCs w:val="20"/>
              </w:rPr>
              <w:t>1.1.</w:t>
            </w:r>
          </w:p>
        </w:tc>
        <w:tc>
          <w:tcPr>
            <w:tcW w:w="3338" w:type="dxa"/>
          </w:tcPr>
          <w:p w:rsidR="00FE6A5C" w:rsidRPr="00FE6A5C" w:rsidRDefault="00FE6A5C" w:rsidP="00CE23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A5C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муниципальных программ - всего</w:t>
            </w:r>
          </w:p>
        </w:tc>
        <w:tc>
          <w:tcPr>
            <w:tcW w:w="1101" w:type="dxa"/>
            <w:vAlign w:val="center"/>
          </w:tcPr>
          <w:p w:rsidR="00FE6A5C" w:rsidRPr="00FE6A5C" w:rsidRDefault="00E12B0D" w:rsidP="00CE23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1 460,9</w:t>
            </w:r>
          </w:p>
        </w:tc>
        <w:tc>
          <w:tcPr>
            <w:tcW w:w="1101" w:type="dxa"/>
            <w:vAlign w:val="center"/>
          </w:tcPr>
          <w:p w:rsidR="00FE6A5C" w:rsidRPr="00FE6A5C" w:rsidRDefault="00E12B0D" w:rsidP="00CE23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1 353,4</w:t>
            </w:r>
          </w:p>
        </w:tc>
        <w:tc>
          <w:tcPr>
            <w:tcW w:w="1101" w:type="dxa"/>
            <w:vAlign w:val="center"/>
          </w:tcPr>
          <w:p w:rsidR="00FE6A5C" w:rsidRPr="00FE6A5C" w:rsidRDefault="00E12B0D" w:rsidP="00CE23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1 376,4</w:t>
            </w:r>
          </w:p>
        </w:tc>
        <w:tc>
          <w:tcPr>
            <w:tcW w:w="1101" w:type="dxa"/>
            <w:vAlign w:val="center"/>
          </w:tcPr>
          <w:p w:rsidR="00FE6A5C" w:rsidRPr="00FE6A5C" w:rsidRDefault="00E12B0D" w:rsidP="00CE23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1 466,5</w:t>
            </w:r>
          </w:p>
        </w:tc>
        <w:tc>
          <w:tcPr>
            <w:tcW w:w="1101" w:type="dxa"/>
            <w:vAlign w:val="center"/>
          </w:tcPr>
          <w:p w:rsidR="00FE6A5C" w:rsidRPr="00FE6A5C" w:rsidRDefault="00E12B0D" w:rsidP="00CE23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1 505,7</w:t>
            </w:r>
          </w:p>
        </w:tc>
        <w:tc>
          <w:tcPr>
            <w:tcW w:w="1101" w:type="dxa"/>
            <w:vAlign w:val="center"/>
          </w:tcPr>
          <w:p w:rsidR="00FE6A5C" w:rsidRPr="00FE6A5C" w:rsidRDefault="00E12B0D" w:rsidP="00CE23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1 544,9</w:t>
            </w:r>
          </w:p>
        </w:tc>
      </w:tr>
      <w:tr w:rsidR="00FE6A5C" w:rsidRPr="00FE6A5C" w:rsidTr="00CE2378">
        <w:tc>
          <w:tcPr>
            <w:tcW w:w="822" w:type="dxa"/>
          </w:tcPr>
          <w:p w:rsidR="00FE6A5C" w:rsidRPr="00FE6A5C" w:rsidRDefault="00FE6A5C" w:rsidP="00CE2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</w:tcPr>
          <w:p w:rsidR="00FE6A5C" w:rsidRPr="00FE6A5C" w:rsidRDefault="00FE6A5C" w:rsidP="00CE2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A5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01" w:type="dxa"/>
            <w:vAlign w:val="center"/>
          </w:tcPr>
          <w:p w:rsidR="00FE6A5C" w:rsidRPr="00FE6A5C" w:rsidRDefault="00FE6A5C" w:rsidP="00CE2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FE6A5C" w:rsidRPr="00FE6A5C" w:rsidRDefault="00FE6A5C" w:rsidP="00CE2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FE6A5C" w:rsidRPr="00FE6A5C" w:rsidRDefault="00FE6A5C" w:rsidP="00CE2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FE6A5C" w:rsidRPr="00FE6A5C" w:rsidRDefault="00FE6A5C" w:rsidP="00CE2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FE6A5C" w:rsidRPr="00FE6A5C" w:rsidRDefault="00FE6A5C" w:rsidP="00CE2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FE6A5C" w:rsidRPr="00FE6A5C" w:rsidRDefault="00FE6A5C" w:rsidP="00CE2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A5C" w:rsidRPr="00FE6A5C" w:rsidTr="00FE6A5C">
        <w:tc>
          <w:tcPr>
            <w:tcW w:w="822" w:type="dxa"/>
          </w:tcPr>
          <w:p w:rsidR="00FE6A5C" w:rsidRPr="00FE6A5C" w:rsidRDefault="00FE6A5C" w:rsidP="00FE6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338" w:type="dxa"/>
          </w:tcPr>
          <w:p w:rsidR="00FE6A5C" w:rsidRPr="00FE6A5C" w:rsidRDefault="009B6072" w:rsidP="00CE2378">
            <w:pPr>
              <w:rPr>
                <w:rFonts w:ascii="Times New Roman" w:hAnsi="Times New Roman" w:cs="Times New Roman"/>
              </w:rPr>
            </w:pPr>
            <w:r w:rsidRPr="009B6072">
              <w:rPr>
                <w:rFonts w:ascii="Times New Roman" w:hAnsi="Times New Roman" w:cs="Times New Roman"/>
              </w:rPr>
              <w:t>Муниципальная программа "Развитие системы образования Бодайбинского района"</w:t>
            </w:r>
          </w:p>
        </w:tc>
        <w:tc>
          <w:tcPr>
            <w:tcW w:w="1101" w:type="dxa"/>
            <w:vAlign w:val="center"/>
          </w:tcPr>
          <w:p w:rsidR="00FE6A5C" w:rsidRPr="00E12B0D" w:rsidRDefault="00E12B0D" w:rsidP="00CE2378">
            <w:pPr>
              <w:jc w:val="center"/>
              <w:rPr>
                <w:rFonts w:ascii="Times New Roman" w:hAnsi="Times New Roman" w:cs="Times New Roman"/>
              </w:rPr>
            </w:pPr>
            <w:r w:rsidRPr="00E12B0D">
              <w:rPr>
                <w:rFonts w:ascii="Times New Roman" w:hAnsi="Times New Roman" w:cs="Times New Roman"/>
              </w:rPr>
              <w:t>802,9</w:t>
            </w:r>
          </w:p>
        </w:tc>
        <w:tc>
          <w:tcPr>
            <w:tcW w:w="1101" w:type="dxa"/>
            <w:vAlign w:val="center"/>
          </w:tcPr>
          <w:p w:rsidR="00FE6A5C" w:rsidRPr="00E12B0D" w:rsidRDefault="00E12B0D" w:rsidP="00CE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821,4</w:t>
            </w:r>
          </w:p>
        </w:tc>
        <w:tc>
          <w:tcPr>
            <w:tcW w:w="1101" w:type="dxa"/>
            <w:vAlign w:val="center"/>
          </w:tcPr>
          <w:p w:rsidR="00FE6A5C" w:rsidRPr="00E12B0D" w:rsidRDefault="00E12B0D" w:rsidP="00CE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848,5</w:t>
            </w:r>
          </w:p>
        </w:tc>
        <w:tc>
          <w:tcPr>
            <w:tcW w:w="1101" w:type="dxa"/>
            <w:vAlign w:val="center"/>
          </w:tcPr>
          <w:p w:rsidR="00FE6A5C" w:rsidRPr="00E12B0D" w:rsidRDefault="00E12B0D" w:rsidP="00CE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914,7</w:t>
            </w:r>
          </w:p>
        </w:tc>
        <w:tc>
          <w:tcPr>
            <w:tcW w:w="1101" w:type="dxa"/>
            <w:vAlign w:val="center"/>
          </w:tcPr>
          <w:p w:rsidR="00FE6A5C" w:rsidRPr="00E12B0D" w:rsidRDefault="00E12B0D" w:rsidP="00CE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937,6</w:t>
            </w:r>
          </w:p>
        </w:tc>
        <w:tc>
          <w:tcPr>
            <w:tcW w:w="1101" w:type="dxa"/>
            <w:vAlign w:val="center"/>
          </w:tcPr>
          <w:p w:rsidR="00FE6A5C" w:rsidRPr="00E12B0D" w:rsidRDefault="00E12B0D" w:rsidP="00CE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960,1</w:t>
            </w:r>
          </w:p>
        </w:tc>
      </w:tr>
      <w:tr w:rsidR="00FE6A5C" w:rsidRPr="00FE6A5C" w:rsidTr="00FE6A5C">
        <w:tc>
          <w:tcPr>
            <w:tcW w:w="822" w:type="dxa"/>
          </w:tcPr>
          <w:p w:rsidR="00FE6A5C" w:rsidRPr="00FE6A5C" w:rsidRDefault="00FE6A5C" w:rsidP="00FE6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3338" w:type="dxa"/>
          </w:tcPr>
          <w:p w:rsidR="00FE6A5C" w:rsidRPr="00FE6A5C" w:rsidRDefault="009B6072" w:rsidP="00CE2378">
            <w:pPr>
              <w:rPr>
                <w:rFonts w:ascii="Times New Roman" w:hAnsi="Times New Roman" w:cs="Times New Roman"/>
              </w:rPr>
            </w:pPr>
            <w:r w:rsidRPr="009B6072">
              <w:rPr>
                <w:rFonts w:ascii="Times New Roman" w:hAnsi="Times New Roman" w:cs="Times New Roman"/>
              </w:rPr>
              <w:t>Муниципальная Программа "Развитие культуры Бодайбинского района"</w:t>
            </w:r>
          </w:p>
        </w:tc>
        <w:tc>
          <w:tcPr>
            <w:tcW w:w="1101" w:type="dxa"/>
            <w:vAlign w:val="center"/>
          </w:tcPr>
          <w:p w:rsidR="00FE6A5C" w:rsidRPr="00E12B0D" w:rsidRDefault="00E12B0D" w:rsidP="00CE2378">
            <w:pPr>
              <w:jc w:val="center"/>
              <w:rPr>
                <w:rFonts w:ascii="Times New Roman" w:hAnsi="Times New Roman" w:cs="Times New Roman"/>
              </w:rPr>
            </w:pPr>
            <w:r w:rsidRPr="00E12B0D">
              <w:rPr>
                <w:rFonts w:ascii="Times New Roman" w:hAnsi="Times New Roman" w:cs="Times New Roman"/>
              </w:rPr>
              <w:t>217,5</w:t>
            </w:r>
          </w:p>
        </w:tc>
        <w:tc>
          <w:tcPr>
            <w:tcW w:w="1101" w:type="dxa"/>
            <w:vAlign w:val="center"/>
          </w:tcPr>
          <w:p w:rsidR="00FE6A5C" w:rsidRPr="00E12B0D" w:rsidRDefault="00E12B0D" w:rsidP="00CE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219,4</w:t>
            </w:r>
          </w:p>
        </w:tc>
        <w:tc>
          <w:tcPr>
            <w:tcW w:w="1101" w:type="dxa"/>
            <w:vAlign w:val="center"/>
          </w:tcPr>
          <w:p w:rsidR="00FE6A5C" w:rsidRPr="00E12B0D" w:rsidRDefault="00E12B0D" w:rsidP="00CE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228,8</w:t>
            </w:r>
          </w:p>
        </w:tc>
        <w:tc>
          <w:tcPr>
            <w:tcW w:w="1101" w:type="dxa"/>
            <w:vAlign w:val="center"/>
          </w:tcPr>
          <w:p w:rsidR="00FE6A5C" w:rsidRPr="00E12B0D" w:rsidRDefault="00E12B0D" w:rsidP="00CE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233,7</w:t>
            </w:r>
          </w:p>
        </w:tc>
        <w:tc>
          <w:tcPr>
            <w:tcW w:w="1101" w:type="dxa"/>
            <w:vAlign w:val="center"/>
          </w:tcPr>
          <w:p w:rsidR="00FE6A5C" w:rsidRPr="00E12B0D" w:rsidRDefault="00E12B0D" w:rsidP="00CE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240,4</w:t>
            </w:r>
          </w:p>
        </w:tc>
        <w:tc>
          <w:tcPr>
            <w:tcW w:w="1101" w:type="dxa"/>
            <w:vAlign w:val="center"/>
          </w:tcPr>
          <w:p w:rsidR="00FE6A5C" w:rsidRPr="00E12B0D" w:rsidRDefault="00E12B0D" w:rsidP="00CE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247,2</w:t>
            </w:r>
          </w:p>
        </w:tc>
      </w:tr>
      <w:tr w:rsidR="00FE6A5C" w:rsidRPr="00FE6A5C" w:rsidTr="00FE6A5C">
        <w:tc>
          <w:tcPr>
            <w:tcW w:w="822" w:type="dxa"/>
          </w:tcPr>
          <w:p w:rsidR="00FE6A5C" w:rsidRPr="00FE6A5C" w:rsidRDefault="00FE6A5C" w:rsidP="00FE6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3338" w:type="dxa"/>
          </w:tcPr>
          <w:p w:rsidR="00FE6A5C" w:rsidRPr="00FE6A5C" w:rsidRDefault="009B6072" w:rsidP="00CE2378">
            <w:pPr>
              <w:rPr>
                <w:rFonts w:ascii="Times New Roman" w:hAnsi="Times New Roman" w:cs="Times New Roman"/>
              </w:rPr>
            </w:pPr>
            <w:r w:rsidRPr="009B6072">
              <w:rPr>
                <w:rFonts w:ascii="Times New Roman" w:hAnsi="Times New Roman" w:cs="Times New Roman"/>
              </w:rPr>
              <w:t xml:space="preserve">Муниципальная программа "Развитие территории муниципального образования </w:t>
            </w:r>
            <w:proofErr w:type="gramStart"/>
            <w:r w:rsidRPr="009B6072">
              <w:rPr>
                <w:rFonts w:ascii="Times New Roman" w:hAnsi="Times New Roman" w:cs="Times New Roman"/>
              </w:rPr>
              <w:t>г</w:t>
            </w:r>
            <w:proofErr w:type="gramEnd"/>
            <w:r w:rsidRPr="009B6072">
              <w:rPr>
                <w:rFonts w:ascii="Times New Roman" w:hAnsi="Times New Roman" w:cs="Times New Roman"/>
              </w:rPr>
              <w:t>. Бодайбо и района"</w:t>
            </w:r>
          </w:p>
        </w:tc>
        <w:tc>
          <w:tcPr>
            <w:tcW w:w="1101" w:type="dxa"/>
            <w:vAlign w:val="center"/>
          </w:tcPr>
          <w:p w:rsidR="00FE6A5C" w:rsidRPr="00E12B0D" w:rsidRDefault="00E12B0D" w:rsidP="00CE2378">
            <w:pPr>
              <w:jc w:val="center"/>
              <w:rPr>
                <w:rFonts w:ascii="Times New Roman" w:hAnsi="Times New Roman" w:cs="Times New Roman"/>
              </w:rPr>
            </w:pPr>
            <w:r w:rsidRPr="00E12B0D">
              <w:rPr>
                <w:rFonts w:ascii="Times New Roman" w:hAnsi="Times New Roman" w:cs="Times New Roman"/>
              </w:rPr>
              <w:t>146,0</w:t>
            </w:r>
          </w:p>
        </w:tc>
        <w:tc>
          <w:tcPr>
            <w:tcW w:w="1101" w:type="dxa"/>
            <w:vAlign w:val="center"/>
          </w:tcPr>
          <w:p w:rsidR="00FE6A5C" w:rsidRPr="00E12B0D" w:rsidRDefault="00E12B0D" w:rsidP="00CE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136,3</w:t>
            </w:r>
          </w:p>
        </w:tc>
        <w:tc>
          <w:tcPr>
            <w:tcW w:w="1101" w:type="dxa"/>
            <w:vAlign w:val="center"/>
          </w:tcPr>
          <w:p w:rsidR="00FE6A5C" w:rsidRPr="00E12B0D" w:rsidRDefault="00E12B0D" w:rsidP="00CE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143,8</w:t>
            </w:r>
          </w:p>
        </w:tc>
        <w:tc>
          <w:tcPr>
            <w:tcW w:w="1101" w:type="dxa"/>
            <w:vAlign w:val="center"/>
          </w:tcPr>
          <w:p w:rsidR="00FE6A5C" w:rsidRPr="00E12B0D" w:rsidRDefault="00E12B0D" w:rsidP="00CE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155,3</w:t>
            </w:r>
          </w:p>
        </w:tc>
        <w:tc>
          <w:tcPr>
            <w:tcW w:w="1101" w:type="dxa"/>
            <w:vAlign w:val="center"/>
          </w:tcPr>
          <w:p w:rsidR="00FE6A5C" w:rsidRPr="00E12B0D" w:rsidRDefault="00E12B0D" w:rsidP="00CE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159,2</w:t>
            </w:r>
          </w:p>
        </w:tc>
        <w:tc>
          <w:tcPr>
            <w:tcW w:w="1101" w:type="dxa"/>
            <w:vAlign w:val="center"/>
          </w:tcPr>
          <w:p w:rsidR="00FE6A5C" w:rsidRPr="00E12B0D" w:rsidRDefault="00E12B0D" w:rsidP="00CE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163,3</w:t>
            </w:r>
          </w:p>
        </w:tc>
      </w:tr>
      <w:tr w:rsidR="00FE6A5C" w:rsidRPr="00FE6A5C" w:rsidTr="00FE6A5C">
        <w:tc>
          <w:tcPr>
            <w:tcW w:w="822" w:type="dxa"/>
          </w:tcPr>
          <w:p w:rsidR="00FE6A5C" w:rsidRPr="00FE6A5C" w:rsidRDefault="00FE6A5C" w:rsidP="00FE6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3338" w:type="dxa"/>
          </w:tcPr>
          <w:p w:rsidR="00FE6A5C" w:rsidRPr="00FE6A5C" w:rsidRDefault="009B6072" w:rsidP="00CE2378">
            <w:pPr>
              <w:rPr>
                <w:rFonts w:ascii="Times New Roman" w:hAnsi="Times New Roman" w:cs="Times New Roman"/>
              </w:rPr>
            </w:pPr>
            <w:r w:rsidRPr="009B6072">
              <w:rPr>
                <w:rFonts w:ascii="Times New Roman" w:hAnsi="Times New Roman" w:cs="Times New Roman"/>
              </w:rPr>
              <w:t xml:space="preserve">Муниципальная программа «Развитие молодежной политики в </w:t>
            </w:r>
            <w:proofErr w:type="spellStart"/>
            <w:r w:rsidRPr="009B6072">
              <w:rPr>
                <w:rFonts w:ascii="Times New Roman" w:hAnsi="Times New Roman" w:cs="Times New Roman"/>
              </w:rPr>
              <w:t>Бодайбинском</w:t>
            </w:r>
            <w:proofErr w:type="spellEnd"/>
            <w:r w:rsidRPr="009B6072">
              <w:rPr>
                <w:rFonts w:ascii="Times New Roman" w:hAnsi="Times New Roman" w:cs="Times New Roman"/>
              </w:rPr>
              <w:t xml:space="preserve"> районе»</w:t>
            </w:r>
          </w:p>
        </w:tc>
        <w:tc>
          <w:tcPr>
            <w:tcW w:w="1101" w:type="dxa"/>
            <w:vAlign w:val="center"/>
          </w:tcPr>
          <w:p w:rsidR="00FE6A5C" w:rsidRPr="00E12B0D" w:rsidRDefault="00E12B0D" w:rsidP="00CE2378">
            <w:pPr>
              <w:jc w:val="center"/>
              <w:rPr>
                <w:rFonts w:ascii="Times New Roman" w:hAnsi="Times New Roman" w:cs="Times New Roman"/>
              </w:rPr>
            </w:pPr>
            <w:r w:rsidRPr="00E12B0D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01" w:type="dxa"/>
            <w:vAlign w:val="center"/>
          </w:tcPr>
          <w:p w:rsidR="00FE6A5C" w:rsidRPr="00E12B0D" w:rsidRDefault="00E12B0D" w:rsidP="00CE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01" w:type="dxa"/>
            <w:vAlign w:val="center"/>
          </w:tcPr>
          <w:p w:rsidR="00FE6A5C" w:rsidRPr="00E12B0D" w:rsidRDefault="00E12B0D" w:rsidP="00CE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01" w:type="dxa"/>
            <w:vAlign w:val="center"/>
          </w:tcPr>
          <w:p w:rsidR="00FE6A5C" w:rsidRPr="00E12B0D" w:rsidRDefault="00E12B0D" w:rsidP="00CE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01" w:type="dxa"/>
            <w:vAlign w:val="center"/>
          </w:tcPr>
          <w:p w:rsidR="00FE6A5C" w:rsidRPr="00E12B0D" w:rsidRDefault="00E12B0D" w:rsidP="00CE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01" w:type="dxa"/>
            <w:vAlign w:val="center"/>
          </w:tcPr>
          <w:p w:rsidR="00FE6A5C" w:rsidRPr="00E12B0D" w:rsidRDefault="00E12B0D" w:rsidP="00CE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FE6A5C" w:rsidRPr="00FE6A5C" w:rsidTr="00FE6A5C">
        <w:tc>
          <w:tcPr>
            <w:tcW w:w="822" w:type="dxa"/>
          </w:tcPr>
          <w:p w:rsidR="00FE6A5C" w:rsidRPr="00FE6A5C" w:rsidRDefault="00FE6A5C" w:rsidP="00FE6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3338" w:type="dxa"/>
          </w:tcPr>
          <w:p w:rsidR="00FE6A5C" w:rsidRPr="00FE6A5C" w:rsidRDefault="009B6072" w:rsidP="00CE2378">
            <w:pPr>
              <w:rPr>
                <w:rFonts w:ascii="Times New Roman" w:hAnsi="Times New Roman" w:cs="Times New Roman"/>
              </w:rPr>
            </w:pPr>
            <w:r w:rsidRPr="009B6072">
              <w:rPr>
                <w:rFonts w:ascii="Times New Roman" w:hAnsi="Times New Roman" w:cs="Times New Roman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9B6072">
              <w:rPr>
                <w:rFonts w:ascii="Times New Roman" w:hAnsi="Times New Roman" w:cs="Times New Roman"/>
              </w:rPr>
              <w:t>Бодайбинском</w:t>
            </w:r>
            <w:proofErr w:type="spellEnd"/>
            <w:r w:rsidRPr="009B6072">
              <w:rPr>
                <w:rFonts w:ascii="Times New Roman" w:hAnsi="Times New Roman" w:cs="Times New Roman"/>
              </w:rPr>
              <w:t xml:space="preserve"> районе"</w:t>
            </w:r>
          </w:p>
        </w:tc>
        <w:tc>
          <w:tcPr>
            <w:tcW w:w="1101" w:type="dxa"/>
            <w:vAlign w:val="center"/>
          </w:tcPr>
          <w:p w:rsidR="00FE6A5C" w:rsidRPr="00E12B0D" w:rsidRDefault="00E12B0D" w:rsidP="00CE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101" w:type="dxa"/>
            <w:vAlign w:val="center"/>
          </w:tcPr>
          <w:p w:rsidR="00FE6A5C" w:rsidRPr="00E12B0D" w:rsidRDefault="00E12B0D" w:rsidP="00CE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101" w:type="dxa"/>
            <w:vAlign w:val="center"/>
          </w:tcPr>
          <w:p w:rsidR="00FE6A5C" w:rsidRPr="00E12B0D" w:rsidRDefault="00E12B0D" w:rsidP="00CE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101" w:type="dxa"/>
            <w:vAlign w:val="center"/>
          </w:tcPr>
          <w:p w:rsidR="00FE6A5C" w:rsidRPr="00E12B0D" w:rsidRDefault="00E12B0D" w:rsidP="00CE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101" w:type="dxa"/>
            <w:vAlign w:val="center"/>
          </w:tcPr>
          <w:p w:rsidR="00FE6A5C" w:rsidRPr="00E12B0D" w:rsidRDefault="00E12B0D" w:rsidP="00CE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101" w:type="dxa"/>
            <w:vAlign w:val="center"/>
          </w:tcPr>
          <w:p w:rsidR="00FE6A5C" w:rsidRPr="00E12B0D" w:rsidRDefault="00E12B0D" w:rsidP="00CE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FE6A5C" w:rsidRPr="00FE6A5C" w:rsidTr="00FE6A5C">
        <w:tc>
          <w:tcPr>
            <w:tcW w:w="822" w:type="dxa"/>
          </w:tcPr>
          <w:p w:rsidR="00FE6A5C" w:rsidRPr="00FE6A5C" w:rsidRDefault="00FE6A5C" w:rsidP="00FE6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3338" w:type="dxa"/>
          </w:tcPr>
          <w:p w:rsidR="00FE6A5C" w:rsidRPr="00FE6A5C" w:rsidRDefault="009B6072" w:rsidP="00CE2378">
            <w:pPr>
              <w:rPr>
                <w:rFonts w:ascii="Times New Roman" w:hAnsi="Times New Roman" w:cs="Times New Roman"/>
              </w:rPr>
            </w:pPr>
            <w:r w:rsidRPr="009B6072">
              <w:rPr>
                <w:rFonts w:ascii="Times New Roman" w:hAnsi="Times New Roman" w:cs="Times New Roman"/>
              </w:rPr>
              <w:t xml:space="preserve">Муниципальная программа «Строительство, реконструкция, капитальные и текущие ремонты объектов муниципальной собственности муниципального образования </w:t>
            </w:r>
            <w:proofErr w:type="gramStart"/>
            <w:r w:rsidRPr="009B6072">
              <w:rPr>
                <w:rFonts w:ascii="Times New Roman" w:hAnsi="Times New Roman" w:cs="Times New Roman"/>
              </w:rPr>
              <w:t>г</w:t>
            </w:r>
            <w:proofErr w:type="gramEnd"/>
            <w:r w:rsidRPr="009B6072">
              <w:rPr>
                <w:rFonts w:ascii="Times New Roman" w:hAnsi="Times New Roman" w:cs="Times New Roman"/>
              </w:rPr>
              <w:t>. Бодайбо и района»</w:t>
            </w:r>
          </w:p>
        </w:tc>
        <w:tc>
          <w:tcPr>
            <w:tcW w:w="1101" w:type="dxa"/>
            <w:vAlign w:val="center"/>
          </w:tcPr>
          <w:p w:rsidR="00FE6A5C" w:rsidRPr="00E12B0D" w:rsidRDefault="00E12B0D" w:rsidP="00CE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186,0</w:t>
            </w:r>
          </w:p>
        </w:tc>
        <w:tc>
          <w:tcPr>
            <w:tcW w:w="1101" w:type="dxa"/>
            <w:vAlign w:val="center"/>
          </w:tcPr>
          <w:p w:rsidR="00FE6A5C" w:rsidRPr="00E12B0D" w:rsidRDefault="00E12B0D" w:rsidP="00CE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101" w:type="dxa"/>
            <w:vAlign w:val="center"/>
          </w:tcPr>
          <w:p w:rsidR="00FE6A5C" w:rsidRPr="00E12B0D" w:rsidRDefault="00E12B0D" w:rsidP="00CE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101" w:type="dxa"/>
            <w:vAlign w:val="center"/>
          </w:tcPr>
          <w:p w:rsidR="00FE6A5C" w:rsidRPr="00E12B0D" w:rsidRDefault="00E12B0D" w:rsidP="00CE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101" w:type="dxa"/>
            <w:vAlign w:val="center"/>
          </w:tcPr>
          <w:p w:rsidR="00FE6A5C" w:rsidRPr="00E12B0D" w:rsidRDefault="00E12B0D" w:rsidP="00CE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101" w:type="dxa"/>
            <w:vAlign w:val="center"/>
          </w:tcPr>
          <w:p w:rsidR="00FE6A5C" w:rsidRPr="00E12B0D" w:rsidRDefault="00E12B0D" w:rsidP="00CE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</w:tr>
      <w:tr w:rsidR="00FE6A5C" w:rsidRPr="00FE6A5C" w:rsidTr="00FE6A5C">
        <w:tc>
          <w:tcPr>
            <w:tcW w:w="822" w:type="dxa"/>
          </w:tcPr>
          <w:p w:rsidR="00FE6A5C" w:rsidRPr="00FE6A5C" w:rsidRDefault="00FE6A5C" w:rsidP="00FE6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1.1.7.</w:t>
            </w:r>
          </w:p>
        </w:tc>
        <w:tc>
          <w:tcPr>
            <w:tcW w:w="3338" w:type="dxa"/>
          </w:tcPr>
          <w:p w:rsidR="00FE6A5C" w:rsidRPr="00FE6A5C" w:rsidRDefault="009B6072" w:rsidP="009B6072">
            <w:pPr>
              <w:rPr>
                <w:rFonts w:ascii="Times New Roman" w:hAnsi="Times New Roman" w:cs="Times New Roman"/>
              </w:rPr>
            </w:pPr>
            <w:r w:rsidRPr="009B6072">
              <w:rPr>
                <w:rFonts w:ascii="Times New Roman" w:hAnsi="Times New Roman" w:cs="Times New Roman"/>
              </w:rPr>
              <w:t xml:space="preserve">Муниципальная программа "Управление муниципальными финансами муниципального образования </w:t>
            </w:r>
            <w:proofErr w:type="gramStart"/>
            <w:r w:rsidRPr="009B6072">
              <w:rPr>
                <w:rFonts w:ascii="Times New Roman" w:hAnsi="Times New Roman" w:cs="Times New Roman"/>
              </w:rPr>
              <w:t>г</w:t>
            </w:r>
            <w:proofErr w:type="gramEnd"/>
            <w:r w:rsidRPr="009B6072">
              <w:rPr>
                <w:rFonts w:ascii="Times New Roman" w:hAnsi="Times New Roman" w:cs="Times New Roman"/>
              </w:rPr>
              <w:t>. Бодайбо и района"</w:t>
            </w:r>
          </w:p>
        </w:tc>
        <w:tc>
          <w:tcPr>
            <w:tcW w:w="1101" w:type="dxa"/>
            <w:vAlign w:val="center"/>
          </w:tcPr>
          <w:p w:rsidR="00FE6A5C" w:rsidRPr="00E12B0D" w:rsidRDefault="00E12B0D" w:rsidP="00CE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101" w:type="dxa"/>
            <w:vAlign w:val="center"/>
          </w:tcPr>
          <w:p w:rsidR="00FE6A5C" w:rsidRPr="00E12B0D" w:rsidRDefault="00E12B0D" w:rsidP="00CE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101,1</w:t>
            </w:r>
          </w:p>
        </w:tc>
        <w:tc>
          <w:tcPr>
            <w:tcW w:w="1101" w:type="dxa"/>
            <w:vAlign w:val="center"/>
          </w:tcPr>
          <w:p w:rsidR="00FE6A5C" w:rsidRPr="00E12B0D" w:rsidRDefault="00E12B0D" w:rsidP="00CE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1101" w:type="dxa"/>
            <w:vAlign w:val="center"/>
          </w:tcPr>
          <w:p w:rsidR="00FE6A5C" w:rsidRPr="00E12B0D" w:rsidRDefault="00E12B0D" w:rsidP="00CE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110,2</w:t>
            </w:r>
          </w:p>
        </w:tc>
        <w:tc>
          <w:tcPr>
            <w:tcW w:w="1101" w:type="dxa"/>
            <w:vAlign w:val="center"/>
          </w:tcPr>
          <w:p w:rsidR="00FE6A5C" w:rsidRPr="00E12B0D" w:rsidRDefault="00E12B0D" w:rsidP="00CE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114,6</w:t>
            </w:r>
          </w:p>
        </w:tc>
        <w:tc>
          <w:tcPr>
            <w:tcW w:w="1101" w:type="dxa"/>
            <w:vAlign w:val="center"/>
          </w:tcPr>
          <w:p w:rsidR="00FE6A5C" w:rsidRPr="00E12B0D" w:rsidRDefault="00E12B0D" w:rsidP="00CE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119,2</w:t>
            </w:r>
          </w:p>
        </w:tc>
      </w:tr>
      <w:tr w:rsidR="00FE6A5C" w:rsidRPr="00FE6A5C" w:rsidTr="00FE6A5C">
        <w:tc>
          <w:tcPr>
            <w:tcW w:w="822" w:type="dxa"/>
          </w:tcPr>
          <w:p w:rsidR="00FE6A5C" w:rsidRPr="00FE6A5C" w:rsidRDefault="00FE6A5C" w:rsidP="00FE6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1.1.8.</w:t>
            </w:r>
          </w:p>
        </w:tc>
        <w:tc>
          <w:tcPr>
            <w:tcW w:w="3338" w:type="dxa"/>
          </w:tcPr>
          <w:p w:rsidR="00FE6A5C" w:rsidRPr="00FE6A5C" w:rsidRDefault="009B6072" w:rsidP="00CE2378">
            <w:pPr>
              <w:rPr>
                <w:rFonts w:ascii="Times New Roman" w:hAnsi="Times New Roman" w:cs="Times New Roman"/>
              </w:rPr>
            </w:pPr>
            <w:r w:rsidRPr="009B6072">
              <w:rPr>
                <w:rFonts w:ascii="Times New Roman" w:hAnsi="Times New Roman" w:cs="Times New Roman"/>
              </w:rPr>
              <w:t>Муниципальная программа «Молодым семьям – доступное жилье»</w:t>
            </w:r>
          </w:p>
        </w:tc>
        <w:tc>
          <w:tcPr>
            <w:tcW w:w="1101" w:type="dxa"/>
            <w:vAlign w:val="center"/>
          </w:tcPr>
          <w:p w:rsidR="00FE6A5C" w:rsidRPr="00E12B0D" w:rsidRDefault="00E12B0D" w:rsidP="00CE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101" w:type="dxa"/>
            <w:vAlign w:val="center"/>
          </w:tcPr>
          <w:p w:rsidR="00FE6A5C" w:rsidRPr="00E12B0D" w:rsidRDefault="00E12B0D" w:rsidP="00CE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01" w:type="dxa"/>
            <w:vAlign w:val="center"/>
          </w:tcPr>
          <w:p w:rsidR="00FE6A5C" w:rsidRPr="00E12B0D" w:rsidRDefault="00E12B0D" w:rsidP="00CE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01" w:type="dxa"/>
            <w:vAlign w:val="center"/>
          </w:tcPr>
          <w:p w:rsidR="00FE6A5C" w:rsidRPr="00E12B0D" w:rsidRDefault="00E12B0D" w:rsidP="00CE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01" w:type="dxa"/>
            <w:vAlign w:val="center"/>
          </w:tcPr>
          <w:p w:rsidR="00FE6A5C" w:rsidRPr="00E12B0D" w:rsidRDefault="00E12B0D" w:rsidP="00CE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01" w:type="dxa"/>
            <w:vAlign w:val="center"/>
          </w:tcPr>
          <w:p w:rsidR="00FE6A5C" w:rsidRPr="00E12B0D" w:rsidRDefault="00E12B0D" w:rsidP="00CE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FE6A5C" w:rsidRPr="00FE6A5C" w:rsidTr="00FE6A5C">
        <w:tc>
          <w:tcPr>
            <w:tcW w:w="822" w:type="dxa"/>
          </w:tcPr>
          <w:p w:rsidR="00FE6A5C" w:rsidRPr="00FE6A5C" w:rsidRDefault="00FE6A5C" w:rsidP="00FE6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1.1.9.</w:t>
            </w:r>
          </w:p>
        </w:tc>
        <w:tc>
          <w:tcPr>
            <w:tcW w:w="3338" w:type="dxa"/>
          </w:tcPr>
          <w:p w:rsidR="00FE6A5C" w:rsidRPr="00FE6A5C" w:rsidRDefault="009B6072" w:rsidP="00CE2378">
            <w:pPr>
              <w:rPr>
                <w:rFonts w:ascii="Times New Roman" w:hAnsi="Times New Roman" w:cs="Times New Roman"/>
              </w:rPr>
            </w:pPr>
            <w:r w:rsidRPr="009B6072">
              <w:rPr>
                <w:rFonts w:ascii="Times New Roman" w:hAnsi="Times New Roman" w:cs="Times New Roman"/>
              </w:rPr>
              <w:t>Муниципальная программа «Семья и дети Бодайбинского района»</w:t>
            </w:r>
          </w:p>
        </w:tc>
        <w:tc>
          <w:tcPr>
            <w:tcW w:w="1101" w:type="dxa"/>
            <w:vAlign w:val="center"/>
          </w:tcPr>
          <w:p w:rsidR="00FE6A5C" w:rsidRPr="00E12B0D" w:rsidRDefault="00E12B0D" w:rsidP="00CE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101" w:type="dxa"/>
            <w:vAlign w:val="center"/>
          </w:tcPr>
          <w:p w:rsidR="00FE6A5C" w:rsidRPr="00E12B0D" w:rsidRDefault="00E12B0D" w:rsidP="00CE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101" w:type="dxa"/>
            <w:vAlign w:val="center"/>
          </w:tcPr>
          <w:p w:rsidR="00FE6A5C" w:rsidRPr="00E12B0D" w:rsidRDefault="00E12B0D" w:rsidP="00CE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101" w:type="dxa"/>
            <w:vAlign w:val="center"/>
          </w:tcPr>
          <w:p w:rsidR="00FE6A5C" w:rsidRPr="00E12B0D" w:rsidRDefault="00E12B0D" w:rsidP="00CE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101" w:type="dxa"/>
            <w:vAlign w:val="center"/>
          </w:tcPr>
          <w:p w:rsidR="00FE6A5C" w:rsidRPr="00E12B0D" w:rsidRDefault="00E12B0D" w:rsidP="00CE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101" w:type="dxa"/>
            <w:vAlign w:val="center"/>
          </w:tcPr>
          <w:p w:rsidR="00FE6A5C" w:rsidRPr="00E12B0D" w:rsidRDefault="00E12B0D" w:rsidP="00CE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FE6A5C" w:rsidRPr="00FE6A5C" w:rsidTr="00FE6A5C">
        <w:tc>
          <w:tcPr>
            <w:tcW w:w="822" w:type="dxa"/>
          </w:tcPr>
          <w:p w:rsidR="00FE6A5C" w:rsidRPr="00FE6A5C" w:rsidRDefault="00FE6A5C" w:rsidP="00FE6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1.1.10.</w:t>
            </w:r>
          </w:p>
        </w:tc>
        <w:tc>
          <w:tcPr>
            <w:tcW w:w="3338" w:type="dxa"/>
          </w:tcPr>
          <w:p w:rsidR="00FE6A5C" w:rsidRPr="00FE6A5C" w:rsidRDefault="009B6072" w:rsidP="00CE2378">
            <w:pPr>
              <w:rPr>
                <w:rFonts w:ascii="Times New Roman" w:hAnsi="Times New Roman" w:cs="Times New Roman"/>
              </w:rPr>
            </w:pPr>
            <w:r w:rsidRPr="009B6072"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 w:rsidRPr="009B6072">
              <w:rPr>
                <w:rFonts w:ascii="Times New Roman" w:hAnsi="Times New Roman" w:cs="Times New Roman"/>
              </w:rPr>
              <w:t>пальная программа "Муниципальная собственность и земельные правоотношения"</w:t>
            </w:r>
          </w:p>
        </w:tc>
        <w:tc>
          <w:tcPr>
            <w:tcW w:w="1101" w:type="dxa"/>
            <w:vAlign w:val="center"/>
          </w:tcPr>
          <w:p w:rsidR="00FE6A5C" w:rsidRPr="00E12B0D" w:rsidRDefault="00E12B0D" w:rsidP="00CE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101" w:type="dxa"/>
            <w:vAlign w:val="center"/>
          </w:tcPr>
          <w:p w:rsidR="00FE6A5C" w:rsidRPr="00E12B0D" w:rsidRDefault="00E12B0D" w:rsidP="00CE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101" w:type="dxa"/>
            <w:vAlign w:val="center"/>
          </w:tcPr>
          <w:p w:rsidR="00FE6A5C" w:rsidRPr="00E12B0D" w:rsidRDefault="00E12B0D" w:rsidP="00CE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101" w:type="dxa"/>
            <w:vAlign w:val="center"/>
          </w:tcPr>
          <w:p w:rsidR="00FE6A5C" w:rsidRPr="00E12B0D" w:rsidRDefault="00E12B0D" w:rsidP="00CE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101" w:type="dxa"/>
            <w:vAlign w:val="center"/>
          </w:tcPr>
          <w:p w:rsidR="00FE6A5C" w:rsidRPr="00E12B0D" w:rsidRDefault="00E12B0D" w:rsidP="00CE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101" w:type="dxa"/>
            <w:vAlign w:val="center"/>
          </w:tcPr>
          <w:p w:rsidR="00FE6A5C" w:rsidRPr="00E12B0D" w:rsidRDefault="00E12B0D" w:rsidP="00CE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</w:tr>
      <w:tr w:rsidR="00FE6A5C" w:rsidRPr="00FE6A5C" w:rsidTr="00FE6A5C">
        <w:tc>
          <w:tcPr>
            <w:tcW w:w="822" w:type="dxa"/>
          </w:tcPr>
          <w:p w:rsidR="00FE6A5C" w:rsidRPr="00FE6A5C" w:rsidRDefault="00FE6A5C" w:rsidP="00FE6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1.1.11.</w:t>
            </w:r>
          </w:p>
        </w:tc>
        <w:tc>
          <w:tcPr>
            <w:tcW w:w="3338" w:type="dxa"/>
          </w:tcPr>
          <w:p w:rsidR="00FE6A5C" w:rsidRPr="00FE6A5C" w:rsidRDefault="009B6072" w:rsidP="00CE2378">
            <w:pPr>
              <w:rPr>
                <w:rFonts w:ascii="Times New Roman" w:hAnsi="Times New Roman" w:cs="Times New Roman"/>
              </w:rPr>
            </w:pPr>
            <w:r w:rsidRPr="009B6072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9B6072">
              <w:rPr>
                <w:rFonts w:ascii="Times New Roman" w:hAnsi="Times New Roman" w:cs="Times New Roman"/>
              </w:rPr>
              <w:lastRenderedPageBreak/>
              <w:t>"Профилактика социально-значимых заболеваний на территории Бодайбинского района"</w:t>
            </w:r>
          </w:p>
        </w:tc>
        <w:tc>
          <w:tcPr>
            <w:tcW w:w="1101" w:type="dxa"/>
            <w:vAlign w:val="center"/>
          </w:tcPr>
          <w:p w:rsidR="00FE6A5C" w:rsidRPr="00E12B0D" w:rsidRDefault="00E12B0D" w:rsidP="00CE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0,1</w:t>
            </w:r>
          </w:p>
        </w:tc>
        <w:tc>
          <w:tcPr>
            <w:tcW w:w="1101" w:type="dxa"/>
            <w:vAlign w:val="center"/>
          </w:tcPr>
          <w:p w:rsidR="00FE6A5C" w:rsidRPr="00E12B0D" w:rsidRDefault="00E12B0D" w:rsidP="00CE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01" w:type="dxa"/>
            <w:vAlign w:val="center"/>
          </w:tcPr>
          <w:p w:rsidR="00FE6A5C" w:rsidRPr="00E12B0D" w:rsidRDefault="00E12B0D" w:rsidP="00CE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01" w:type="dxa"/>
            <w:vAlign w:val="center"/>
          </w:tcPr>
          <w:p w:rsidR="00FE6A5C" w:rsidRPr="00E12B0D" w:rsidRDefault="00E12B0D" w:rsidP="00CE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01" w:type="dxa"/>
            <w:vAlign w:val="center"/>
          </w:tcPr>
          <w:p w:rsidR="00FE6A5C" w:rsidRPr="00E12B0D" w:rsidRDefault="00E12B0D" w:rsidP="00CE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01" w:type="dxa"/>
            <w:vAlign w:val="center"/>
          </w:tcPr>
          <w:p w:rsidR="00FE6A5C" w:rsidRPr="00E12B0D" w:rsidRDefault="00E12B0D" w:rsidP="00CE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FE6A5C" w:rsidRPr="00FE6A5C" w:rsidTr="00FE6A5C">
        <w:tc>
          <w:tcPr>
            <w:tcW w:w="822" w:type="dxa"/>
          </w:tcPr>
          <w:p w:rsidR="00FE6A5C" w:rsidRPr="00FE6A5C" w:rsidRDefault="00FE6A5C" w:rsidP="00FE6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1.1.12.</w:t>
            </w:r>
          </w:p>
        </w:tc>
        <w:tc>
          <w:tcPr>
            <w:tcW w:w="3338" w:type="dxa"/>
          </w:tcPr>
          <w:p w:rsidR="00FE6A5C" w:rsidRPr="00FE6A5C" w:rsidRDefault="009B6072" w:rsidP="00CE2378">
            <w:pPr>
              <w:rPr>
                <w:rFonts w:ascii="Times New Roman" w:hAnsi="Times New Roman" w:cs="Times New Roman"/>
              </w:rPr>
            </w:pPr>
            <w:r w:rsidRPr="009B6072">
              <w:rPr>
                <w:rFonts w:ascii="Times New Roman" w:hAnsi="Times New Roman" w:cs="Times New Roman"/>
              </w:rPr>
              <w:t xml:space="preserve">Муниципальная программа "Архитектура и градостроительство в муниципальном образовании </w:t>
            </w:r>
            <w:proofErr w:type="gramStart"/>
            <w:r w:rsidRPr="009B6072">
              <w:rPr>
                <w:rFonts w:ascii="Times New Roman" w:hAnsi="Times New Roman" w:cs="Times New Roman"/>
              </w:rPr>
              <w:t>г</w:t>
            </w:r>
            <w:proofErr w:type="gramEnd"/>
            <w:r w:rsidRPr="009B607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6072">
              <w:rPr>
                <w:rFonts w:ascii="Times New Roman" w:hAnsi="Times New Roman" w:cs="Times New Roman"/>
              </w:rPr>
              <w:t>Бодайбо и района"</w:t>
            </w:r>
          </w:p>
        </w:tc>
        <w:tc>
          <w:tcPr>
            <w:tcW w:w="1101" w:type="dxa"/>
            <w:vAlign w:val="center"/>
          </w:tcPr>
          <w:p w:rsidR="00FE6A5C" w:rsidRPr="00E12B0D" w:rsidRDefault="00E12B0D" w:rsidP="00CE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101" w:type="dxa"/>
            <w:vAlign w:val="center"/>
          </w:tcPr>
          <w:p w:rsidR="00FE6A5C" w:rsidRPr="00E12B0D" w:rsidRDefault="00E12B0D" w:rsidP="00CE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01" w:type="dxa"/>
            <w:vAlign w:val="center"/>
          </w:tcPr>
          <w:p w:rsidR="00FE6A5C" w:rsidRPr="00E12B0D" w:rsidRDefault="00E12B0D" w:rsidP="00CE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01" w:type="dxa"/>
            <w:vAlign w:val="center"/>
          </w:tcPr>
          <w:p w:rsidR="00FE6A5C" w:rsidRPr="00E12B0D" w:rsidRDefault="00E12B0D" w:rsidP="00CE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01" w:type="dxa"/>
            <w:vAlign w:val="center"/>
          </w:tcPr>
          <w:p w:rsidR="00FE6A5C" w:rsidRPr="00E12B0D" w:rsidRDefault="00E12B0D" w:rsidP="00CE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01" w:type="dxa"/>
            <w:vAlign w:val="center"/>
          </w:tcPr>
          <w:p w:rsidR="00FE6A5C" w:rsidRPr="00E12B0D" w:rsidRDefault="00E12B0D" w:rsidP="00CE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FE6A5C" w:rsidTr="00FE6A5C">
        <w:tc>
          <w:tcPr>
            <w:tcW w:w="822" w:type="dxa"/>
          </w:tcPr>
          <w:p w:rsidR="00FE6A5C" w:rsidRDefault="00FE6A5C" w:rsidP="00FE6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  <w:r w:rsidRPr="00FE6A5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338" w:type="dxa"/>
          </w:tcPr>
          <w:p w:rsidR="00FE6A5C" w:rsidRPr="00FE6A5C" w:rsidRDefault="00FE6A5C" w:rsidP="00CE237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расходы бюджета </w:t>
            </w:r>
          </w:p>
        </w:tc>
        <w:tc>
          <w:tcPr>
            <w:tcW w:w="1101" w:type="dxa"/>
            <w:vAlign w:val="center"/>
          </w:tcPr>
          <w:p w:rsidR="00FE6A5C" w:rsidRPr="00FE6A5C" w:rsidRDefault="00E12B0D" w:rsidP="00CE23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70,2</w:t>
            </w:r>
          </w:p>
        </w:tc>
        <w:tc>
          <w:tcPr>
            <w:tcW w:w="1101" w:type="dxa"/>
            <w:vAlign w:val="center"/>
          </w:tcPr>
          <w:p w:rsidR="00FE6A5C" w:rsidRPr="00FE6A5C" w:rsidRDefault="00E12B0D" w:rsidP="00CE23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69,4</w:t>
            </w:r>
          </w:p>
        </w:tc>
        <w:tc>
          <w:tcPr>
            <w:tcW w:w="1101" w:type="dxa"/>
            <w:vAlign w:val="center"/>
          </w:tcPr>
          <w:p w:rsidR="00FE6A5C" w:rsidRPr="00FE6A5C" w:rsidRDefault="00E12B0D" w:rsidP="00CE23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69,6</w:t>
            </w:r>
          </w:p>
        </w:tc>
        <w:tc>
          <w:tcPr>
            <w:tcW w:w="1101" w:type="dxa"/>
            <w:vAlign w:val="center"/>
          </w:tcPr>
          <w:p w:rsidR="00FE6A5C" w:rsidRPr="00FE6A5C" w:rsidRDefault="00E12B0D" w:rsidP="00CE23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70,0</w:t>
            </w:r>
          </w:p>
        </w:tc>
        <w:tc>
          <w:tcPr>
            <w:tcW w:w="1101" w:type="dxa"/>
            <w:vAlign w:val="center"/>
          </w:tcPr>
          <w:p w:rsidR="00FE6A5C" w:rsidRPr="00FE6A5C" w:rsidRDefault="00E12B0D" w:rsidP="00CE23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70,5</w:t>
            </w:r>
          </w:p>
        </w:tc>
        <w:tc>
          <w:tcPr>
            <w:tcW w:w="1101" w:type="dxa"/>
            <w:vAlign w:val="center"/>
          </w:tcPr>
          <w:p w:rsidR="00FE6A5C" w:rsidRPr="00FE6A5C" w:rsidRDefault="00E12B0D" w:rsidP="00CE23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71,0</w:t>
            </w:r>
          </w:p>
        </w:tc>
      </w:tr>
    </w:tbl>
    <w:p w:rsidR="00FE6A5C" w:rsidRPr="002C0E5B" w:rsidRDefault="00FE6A5C" w:rsidP="002C0E5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E6A5C" w:rsidRPr="002C0E5B" w:rsidSect="00AB2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81CF1"/>
    <w:multiLevelType w:val="hybridMultilevel"/>
    <w:tmpl w:val="E31A0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579B7"/>
    <w:multiLevelType w:val="hybridMultilevel"/>
    <w:tmpl w:val="14486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E5B"/>
    <w:rsid w:val="0001115C"/>
    <w:rsid w:val="00055D4E"/>
    <w:rsid w:val="00074D0A"/>
    <w:rsid w:val="00082AC5"/>
    <w:rsid w:val="00086371"/>
    <w:rsid w:val="000D33BF"/>
    <w:rsid w:val="000F5FD4"/>
    <w:rsid w:val="00115E60"/>
    <w:rsid w:val="002177CC"/>
    <w:rsid w:val="0026756D"/>
    <w:rsid w:val="002A2013"/>
    <w:rsid w:val="002C0E5B"/>
    <w:rsid w:val="00363D8E"/>
    <w:rsid w:val="00373C8F"/>
    <w:rsid w:val="0039380B"/>
    <w:rsid w:val="003A6705"/>
    <w:rsid w:val="003B68C7"/>
    <w:rsid w:val="003D0CCA"/>
    <w:rsid w:val="003D1A5A"/>
    <w:rsid w:val="00446BA9"/>
    <w:rsid w:val="00477B53"/>
    <w:rsid w:val="004C4F56"/>
    <w:rsid w:val="00504DC0"/>
    <w:rsid w:val="00531297"/>
    <w:rsid w:val="00534AD1"/>
    <w:rsid w:val="005479E0"/>
    <w:rsid w:val="005E19B3"/>
    <w:rsid w:val="00697270"/>
    <w:rsid w:val="006B69F2"/>
    <w:rsid w:val="006F5567"/>
    <w:rsid w:val="00722A9D"/>
    <w:rsid w:val="00773025"/>
    <w:rsid w:val="0079471C"/>
    <w:rsid w:val="007A77FB"/>
    <w:rsid w:val="007B5B04"/>
    <w:rsid w:val="008015E7"/>
    <w:rsid w:val="008B31E0"/>
    <w:rsid w:val="008D1C68"/>
    <w:rsid w:val="008F535D"/>
    <w:rsid w:val="009539E7"/>
    <w:rsid w:val="009A42C9"/>
    <w:rsid w:val="009B3F01"/>
    <w:rsid w:val="009B6072"/>
    <w:rsid w:val="009C1337"/>
    <w:rsid w:val="00A17560"/>
    <w:rsid w:val="00A2597A"/>
    <w:rsid w:val="00A32865"/>
    <w:rsid w:val="00AA5613"/>
    <w:rsid w:val="00AA78FB"/>
    <w:rsid w:val="00AB25FE"/>
    <w:rsid w:val="00AF7B60"/>
    <w:rsid w:val="00B44B4E"/>
    <w:rsid w:val="00BB6924"/>
    <w:rsid w:val="00BF34B6"/>
    <w:rsid w:val="00C34097"/>
    <w:rsid w:val="00C700BA"/>
    <w:rsid w:val="00CA2D75"/>
    <w:rsid w:val="00CA4475"/>
    <w:rsid w:val="00CC7599"/>
    <w:rsid w:val="00CD5CD5"/>
    <w:rsid w:val="00D440EE"/>
    <w:rsid w:val="00D95FA6"/>
    <w:rsid w:val="00DC1991"/>
    <w:rsid w:val="00E12B0D"/>
    <w:rsid w:val="00E968C2"/>
    <w:rsid w:val="00F26900"/>
    <w:rsid w:val="00F27C67"/>
    <w:rsid w:val="00FA79C7"/>
    <w:rsid w:val="00FB1B38"/>
    <w:rsid w:val="00FE6A5C"/>
    <w:rsid w:val="00FF3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8C7"/>
    <w:pPr>
      <w:ind w:left="720"/>
      <w:contextualSpacing/>
    </w:pPr>
  </w:style>
  <w:style w:type="table" w:styleId="a4">
    <w:name w:val="Table Grid"/>
    <w:basedOn w:val="a1"/>
    <w:uiPriority w:val="39"/>
    <w:rsid w:val="009B3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4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AC31CBF186F7ACA11ED38A46F1AF8BB4F6D8D137701EDF909EC78A6EF3250DC85A7B5DF5276C5CC2FB318A07A0E6E20ABCF7C49B2ADC47oFM1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9AC31CBF186F7ACA11ED38A46F1AF8BB4F6D8D137701EDF909EC78A6EF3250DC85A7B5DF5276C5CCBFB318A07A0E6E20ABCF7C49B2ADC47oFM1E" TargetMode="External"/><Relationship Id="rId12" Type="http://schemas.openxmlformats.org/officeDocument/2006/relationships/hyperlink" Target="consultantplus://offline/ref=79AC31CBF186F7ACA11ECD87509DF587B7F581DC3D7E1280CEC19CD739FA2F5A8F15221FB12A6F5ECAF064DB48A1BAA45AAFF4C39B29DE58FA877Ao9M0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9AC31CBF186F7ACA11ED38A46F1AF8BB5FDD9D63C791EDF909EC78A6EF3250DC85A7B5FFD2568559EA1218E4EF7EEFE0EA0E8C48529oDM5E" TargetMode="External"/><Relationship Id="rId11" Type="http://schemas.openxmlformats.org/officeDocument/2006/relationships/hyperlink" Target="consultantplus://offline/ref=79AC31CBF186F7ACA11ECD87509DF587B7F581DC357F138BCFC3C1DD31A32358881A7D08B663635FCAF061DD44FEBFB14BF7FBC48036DD44E6857B98o7MA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AC31CBF186F7ACA11ED38A46F1AF8BB7F6DED637791EDF909EC78A6EF3250DC85A7B5DF5276E5FC8FB318A07A0E6E20ABCF7C49B2ADC47oFM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AC31CBF186F7ACA11ED38A46F1AF8BB4F6D8D137701EDF909EC78A6EF3250DC85A7B5DF5276A56CDFB318A07A0E6E20ABCF7C49B2ADC47oFM1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C0B89-2489-4E6E-BC50-7D73F8F9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8</Pages>
  <Words>2696</Words>
  <Characters>15369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Меледина</dc:creator>
  <cp:keywords/>
  <dc:description/>
  <cp:lastModifiedBy>Лыкова</cp:lastModifiedBy>
  <cp:revision>17</cp:revision>
  <cp:lastPrinted>2020-02-14T01:21:00Z</cp:lastPrinted>
  <dcterms:created xsi:type="dcterms:W3CDTF">2019-12-25T04:17:00Z</dcterms:created>
  <dcterms:modified xsi:type="dcterms:W3CDTF">2020-02-14T06:41:00Z</dcterms:modified>
</cp:coreProperties>
</file>