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0CE" w:rsidRPr="009230CE" w:rsidRDefault="009230CE" w:rsidP="009230CE">
      <w:pPr>
        <w:spacing w:after="0" w:line="240" w:lineRule="auto"/>
        <w:ind w:firstLine="540"/>
        <w:jc w:val="both"/>
        <w:rPr>
          <w:rFonts w:ascii="Times New Roman" w:eastAsia="Times New Roman" w:hAnsi="Times New Roman" w:cs="Times New Roman"/>
          <w:sz w:val="24"/>
          <w:szCs w:val="24"/>
          <w:lang w:eastAsia="ru-RU"/>
        </w:rPr>
      </w:pPr>
      <w:bookmarkStart w:id="0" w:name="_GoBack"/>
      <w:bookmarkEnd w:id="0"/>
      <w:r w:rsidRPr="009230CE">
        <w:rPr>
          <w:rFonts w:ascii="Times New Roman" w:eastAsia="Times New Roman" w:hAnsi="Times New Roman" w:cs="Times New Roman"/>
          <w:sz w:val="24"/>
          <w:szCs w:val="24"/>
          <w:lang w:eastAsia="ru-RU"/>
        </w:rPr>
        <w:t xml:space="preserve"> Государственной инспекцией труда в Иркутской области при осуществлении государственного контроля (надзора) могут проводиться следующие виды профилактических мероприятий: </w:t>
      </w:r>
    </w:p>
    <w:p w:rsidR="009230CE" w:rsidRPr="009230CE" w:rsidRDefault="009230CE" w:rsidP="009230CE">
      <w:pPr>
        <w:spacing w:before="168" w:after="0" w:line="240" w:lineRule="auto"/>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а) информирование; </w:t>
      </w:r>
    </w:p>
    <w:p w:rsidR="009230CE" w:rsidRPr="009230CE" w:rsidRDefault="009230CE" w:rsidP="009230CE">
      <w:pPr>
        <w:spacing w:before="168" w:after="0" w:line="240" w:lineRule="auto"/>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б) объявление предостережения; </w:t>
      </w:r>
    </w:p>
    <w:p w:rsidR="009230CE" w:rsidRPr="009230CE" w:rsidRDefault="009230CE" w:rsidP="009230CE">
      <w:pPr>
        <w:spacing w:before="168" w:after="0" w:line="240" w:lineRule="auto"/>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г) консультирование; </w:t>
      </w:r>
    </w:p>
    <w:p w:rsidR="009230CE" w:rsidRPr="009230CE" w:rsidRDefault="009230CE" w:rsidP="009230CE">
      <w:pPr>
        <w:spacing w:before="168" w:after="0" w:line="240" w:lineRule="auto"/>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д) профилактический визит. </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b/>
          <w:sz w:val="24"/>
          <w:szCs w:val="24"/>
          <w:lang w:eastAsia="ru-RU"/>
        </w:rPr>
        <w:t xml:space="preserve">Информирование </w:t>
      </w:r>
      <w:r w:rsidRPr="009230CE">
        <w:rPr>
          <w:rFonts w:ascii="Times New Roman" w:eastAsia="Times New Roman" w:hAnsi="Times New Roman" w:cs="Times New Roman"/>
          <w:sz w:val="24"/>
          <w:szCs w:val="24"/>
          <w:lang w:eastAsia="ru-RU"/>
        </w:rPr>
        <w:t xml:space="preserve">контролируемых лиц и иных заинтересованных лиц осуществляется Федеральной службой по труду и занятости и её территориальными органами в соответствии с положениями статьи 46 Федерального закона </w:t>
      </w:r>
      <w:r w:rsidRPr="009230CE">
        <w:rPr>
          <w:rFonts w:ascii="Times New Roman" w:eastAsia="Times New Roman" w:hAnsi="Times New Roman" w:cs="Times New Roman"/>
          <w:sz w:val="24"/>
          <w:szCs w:val="24"/>
          <w:lang w:eastAsia="ru-RU"/>
        </w:rPr>
        <w:br/>
        <w:t xml:space="preserve">от 31 июля 2020 года № 248-ФЗ «О государственном контроле (надзоре) и муниципальном контроле в Российской Федерации» (далее – Закон о надзоре (контроле) по вопросам соблюдения обязательных требований в сфере трудового законодательства и иных нормативных правовых актов, содержащих нормы трудового права. </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b/>
          <w:sz w:val="24"/>
          <w:szCs w:val="24"/>
          <w:lang w:eastAsia="ru-RU"/>
        </w:rPr>
        <w:t>Предостережение о недопустимости нарушения обязательных требований</w:t>
      </w:r>
      <w:r w:rsidRPr="009230CE">
        <w:rPr>
          <w:rFonts w:ascii="Times New Roman" w:eastAsia="Times New Roman" w:hAnsi="Times New Roman" w:cs="Times New Roman"/>
          <w:sz w:val="24"/>
          <w:szCs w:val="24"/>
          <w:lang w:eastAsia="ru-RU"/>
        </w:rPr>
        <w:t xml:space="preserve"> объявляется и направляется контролируемому лицу в соответствии с положениями статьи 49 Закона о контроле (надзоре). </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w:t>
      </w:r>
      <w:r w:rsidRPr="009230CE">
        <w:rPr>
          <w:rFonts w:ascii="Times New Roman" w:eastAsia="Times New Roman" w:hAnsi="Times New Roman" w:cs="Times New Roman"/>
          <w:sz w:val="24"/>
          <w:szCs w:val="24"/>
          <w:lang w:eastAsia="ru-RU"/>
        </w:rPr>
        <w:lastRenderedPageBreak/>
        <w:t xml:space="preserve">проведения им </w:t>
      </w:r>
      <w:proofErr w:type="spellStart"/>
      <w:r w:rsidRPr="009230CE">
        <w:rPr>
          <w:rFonts w:ascii="Times New Roman" w:eastAsia="Times New Roman" w:hAnsi="Times New Roman" w:cs="Times New Roman"/>
          <w:sz w:val="24"/>
          <w:szCs w:val="24"/>
          <w:lang w:eastAsia="ru-RU"/>
        </w:rPr>
        <w:t>самообследования</w:t>
      </w:r>
      <w:proofErr w:type="spellEnd"/>
      <w:r w:rsidRPr="009230CE">
        <w:rPr>
          <w:rFonts w:ascii="Times New Roman" w:eastAsia="Times New Roman" w:hAnsi="Times New Roman" w:cs="Times New Roman"/>
          <w:sz w:val="24"/>
          <w:szCs w:val="24"/>
          <w:lang w:eastAsia="ru-RU"/>
        </w:rPr>
        <w:t xml:space="preserve"> соблюдения обязательных требований направляется адрес сайта в сети «Интернет», позволяющий пройти </w:t>
      </w:r>
      <w:proofErr w:type="spellStart"/>
      <w:r w:rsidRPr="009230CE">
        <w:rPr>
          <w:rFonts w:ascii="Times New Roman" w:eastAsia="Times New Roman" w:hAnsi="Times New Roman" w:cs="Times New Roman"/>
          <w:sz w:val="24"/>
          <w:szCs w:val="24"/>
          <w:lang w:eastAsia="ru-RU"/>
        </w:rPr>
        <w:t>самообследование</w:t>
      </w:r>
      <w:proofErr w:type="spellEnd"/>
      <w:r w:rsidRPr="009230CE">
        <w:rPr>
          <w:rFonts w:ascii="Times New Roman" w:eastAsia="Times New Roman" w:hAnsi="Times New Roman" w:cs="Times New Roman"/>
          <w:sz w:val="24"/>
          <w:szCs w:val="24"/>
          <w:lang w:eastAsia="ru-RU"/>
        </w:rPr>
        <w:t xml:space="preserve"> соблюдения обязательных требований, при условии наличия </w:t>
      </w:r>
      <w:proofErr w:type="spellStart"/>
      <w:r w:rsidRPr="009230CE">
        <w:rPr>
          <w:rFonts w:ascii="Times New Roman" w:eastAsia="Times New Roman" w:hAnsi="Times New Roman" w:cs="Times New Roman"/>
          <w:sz w:val="24"/>
          <w:szCs w:val="24"/>
          <w:lang w:eastAsia="ru-RU"/>
        </w:rPr>
        <w:t>самообследования</w:t>
      </w:r>
      <w:proofErr w:type="spellEnd"/>
      <w:r w:rsidRPr="009230CE">
        <w:rPr>
          <w:rFonts w:ascii="Times New Roman" w:eastAsia="Times New Roman" w:hAnsi="Times New Roman" w:cs="Times New Roman"/>
          <w:sz w:val="24"/>
          <w:szCs w:val="24"/>
          <w:lang w:eastAsia="ru-RU"/>
        </w:rPr>
        <w:t xml:space="preserve"> в числе используемых профилактических мероприятий по соответствующему виду контроля.</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 случае наличия в Федеральной службе по труду и занятости или ее территориальных органах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Федеральная служба по труду и занятости или ее территориальный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Контролируемое лицо в течение 10 дней со дня получения предостережения о недопустимости нарушения обязательных требований вправе подать в контрольный (надзорный) орган возражение в отношении указанного предостережения.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Возражение направляется в бумажном виде почтовым отправлением либо в виде электронного документа, подписанного в порядке, предусмотренном статьей 21 Закона о надзоре (контроле), на указанный в предостережении адрес электронной почты контрольного (надзорного) органа, либо иными указанными в предостережении способами.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Возражение должно содержать: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сведения о предостережении о недопустимости нарушения обязательных требований и должностном лице, направившем такое предостережение;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доводы, на основании которых заявитель не согласен с предостережением о недопустимости нарушения обязательных требований.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 возражении излагаются доводы, на основании которых заявитель не согласен с предостережением о недопустимости нарушения обязательных требований.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Возражение рассматривается уполномоченными должностными лицами Федеральной службы по труду и занятости или ее территориальных органов, по результатам </w:t>
      </w:r>
      <w:r w:rsidRPr="009230CE">
        <w:rPr>
          <w:rFonts w:ascii="Times New Roman" w:eastAsia="Times New Roman" w:hAnsi="Times New Roman" w:cs="Times New Roman"/>
          <w:sz w:val="24"/>
          <w:szCs w:val="24"/>
          <w:lang w:eastAsia="ru-RU"/>
        </w:rPr>
        <w:lastRenderedPageBreak/>
        <w:t xml:space="preserve">рассмотрения направляется контролируемому лицу в течение 20 рабочих дней со дня получения возражения ответ.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Должностные лица Федеральной службы по труду и занятости и ее территориальных органов по обращениям контролируемых лиц и их представителей осуществляют консультирование в соответствии с положениями статьи 50 Закона о контроле (надзоре). </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Должностное лицо контрольного (надзорного) органа по обращениям контролируемых лиц и их представителей осуществляет </w:t>
      </w:r>
      <w:r w:rsidRPr="009230CE">
        <w:rPr>
          <w:rFonts w:ascii="Times New Roman" w:eastAsia="Times New Roman" w:hAnsi="Times New Roman" w:cs="Times New Roman"/>
          <w:b/>
          <w:sz w:val="24"/>
          <w:szCs w:val="24"/>
          <w:lang w:eastAsia="ru-RU"/>
        </w:rPr>
        <w:t>консультирование</w:t>
      </w:r>
      <w:r w:rsidRPr="009230CE">
        <w:rPr>
          <w:rFonts w:ascii="Times New Roman" w:eastAsia="Times New Roman" w:hAnsi="Times New Roman" w:cs="Times New Roman"/>
          <w:sz w:val="24"/>
          <w:szCs w:val="24"/>
          <w:lang w:eastAsia="ru-RU"/>
        </w:rPr>
        <w:t xml:space="preserve">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Консультирование может осуществляться должностным лицом Федеральной службы по труду и занятости или ее территориального органа по обращениям контролируемых лиц, их представителей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w:t>
      </w:r>
      <w:bookmarkStart w:id="1" w:name="p26"/>
      <w:bookmarkEnd w:id="1"/>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Должностные лица Федеральной службы по труду и занятости и ее территориальных органов осуществляют консультирование по следующим вопросам: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а) организация и осуществление государственного контроля (надзора);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б) порядок организации и проведения контрольных (надзорных) мероприятий;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 гарантии и защита прав контролируемых лиц;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г) эффективные средства и методы соблюдения обязательных требований трудового законодательства и иных нормативных правовых актов, содержащих нормы трудового права, по выявленным нарушениям;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д) исполнение решений контрольных (надзорных) органов.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b/>
          <w:sz w:val="24"/>
          <w:szCs w:val="24"/>
          <w:lang w:eastAsia="ru-RU"/>
        </w:rPr>
        <w:t>Профилактический визит</w:t>
      </w:r>
      <w:r w:rsidRPr="009230CE">
        <w:rPr>
          <w:rFonts w:ascii="Times New Roman" w:eastAsia="Times New Roman" w:hAnsi="Times New Roman" w:cs="Times New Roman"/>
          <w:sz w:val="24"/>
          <w:szCs w:val="24"/>
          <w:lang w:eastAsia="ru-RU"/>
        </w:rPr>
        <w:t xml:space="preserve"> проводится уполномоченным должностным лицом Федеральной службы по труду и занятости или ее территориального органа в форме профилактической беседы по месту осуществления деятельности контролируемого лица либо путем использования видео-конференц-связи в соответствии с положениями статьи 52 Закона о контроле (надзоре). </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Закона о контроле (надзоре).</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Обязательный профилактический визит проводится:</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Закона о контроле (надзоре);</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4) по поручению:</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а) Президента Российской Федерации;</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 высшего должностного лица субъекта Российской Федерации (в отношении видов регионального государственного контроля (надзора) и видов федерального </w:t>
      </w:r>
      <w:r w:rsidRPr="009230CE">
        <w:rPr>
          <w:rFonts w:ascii="Times New Roman" w:eastAsia="Times New Roman" w:hAnsi="Times New Roman" w:cs="Times New Roman"/>
          <w:sz w:val="24"/>
          <w:szCs w:val="24"/>
          <w:lang w:eastAsia="ru-RU"/>
        </w:rPr>
        <w:lastRenderedPageBreak/>
        <w:t>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Обязательный профилактический визит не предусматривает отказ контролируемого лица от его проведения.</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7 настоящей статьи.</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1) вид контроля, в рамках которого должны быть проведены обязательные профилактические визиты;</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2) перечень контролируемых лиц, в отношении которых должны быть проведены обязательные профилактические визиты;</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3) предмет обязательного профилактического визита;</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4) период, в течение которого должны быть проведены обязательные профилактические визиты.</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Закона о контроле (надзоре).</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lastRenderedPageBreak/>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Закона о контроле (надзоре).</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Закона о контроле (надзоре).</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9230CE" w:rsidRPr="009230CE" w:rsidRDefault="009230CE" w:rsidP="009230CE">
      <w:pPr>
        <w:spacing w:before="168" w:beforeAutospacing="1" w:after="0" w:afterAutospacing="1"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Закона о контроле (надзоре).</w:t>
      </w:r>
    </w:p>
    <w:p w:rsidR="009230CE" w:rsidRPr="009230CE" w:rsidRDefault="009230CE" w:rsidP="009230CE">
      <w:pPr>
        <w:spacing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Решение об отказе в проведении профилактического визита принимается в следующих случаях: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1) от контролируемого лица поступило уведомление об отзыве заявления;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3) в течение года до даты подачи заявления контрольным (надзорным) органом проведен профилактический визит по ранее поданному заявлению;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lastRenderedPageBreak/>
        <w:t xml:space="preserve">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 рамках профилактического визита при согласии контролируемого лица инспектор проводит отбор проб (образцов), инструментальное обследование, испытание.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Разъяснения и рекомендации, полученные контролируемым лицом в ходе профилактического визита, носят рекомендательный характер.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Предписания об устранении выявленных в ходе профилактического визита нарушений обязательных требований контролируемым лицам не могут выдаваться. </w:t>
      </w:r>
    </w:p>
    <w:p w:rsidR="009230CE" w:rsidRPr="009230CE" w:rsidRDefault="009230CE" w:rsidP="009230CE">
      <w:pPr>
        <w:spacing w:before="168" w:after="0" w:line="288" w:lineRule="atLeast"/>
        <w:ind w:firstLine="540"/>
        <w:jc w:val="both"/>
        <w:rPr>
          <w:rFonts w:ascii="Times New Roman" w:eastAsia="Times New Roman" w:hAnsi="Times New Roman" w:cs="Times New Roman"/>
          <w:sz w:val="24"/>
          <w:szCs w:val="24"/>
          <w:lang w:eastAsia="ru-RU"/>
        </w:rPr>
      </w:pPr>
      <w:r w:rsidRPr="009230CE">
        <w:rPr>
          <w:rFonts w:ascii="Times New Roman" w:eastAsia="Times New Roman" w:hAnsi="Times New Roman" w:cs="Times New Roman"/>
          <w:sz w:val="24"/>
          <w:szCs w:val="24"/>
          <w:lang w:eastAsia="ru-RU"/>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 </w:t>
      </w:r>
    </w:p>
    <w:p w:rsidR="009230CE" w:rsidRPr="009230CE" w:rsidRDefault="009230CE" w:rsidP="009230CE">
      <w:pPr>
        <w:spacing w:after="0" w:line="240" w:lineRule="auto"/>
        <w:ind w:firstLine="540"/>
        <w:jc w:val="both"/>
        <w:rPr>
          <w:rFonts w:ascii="Times New Roman" w:eastAsia="Times New Roman" w:hAnsi="Times New Roman" w:cs="Times New Roman"/>
          <w:sz w:val="24"/>
          <w:szCs w:val="24"/>
          <w:lang w:eastAsia="ru-RU"/>
        </w:rPr>
      </w:pPr>
    </w:p>
    <w:p w:rsidR="009230CE" w:rsidRPr="009230CE" w:rsidRDefault="009230CE" w:rsidP="009230CE">
      <w:pPr>
        <w:spacing w:after="0" w:line="240" w:lineRule="auto"/>
        <w:jc w:val="both"/>
        <w:rPr>
          <w:rFonts w:ascii="Times New Roman" w:eastAsia="Times New Roman" w:hAnsi="Times New Roman" w:cs="Times New Roman"/>
          <w:sz w:val="24"/>
          <w:szCs w:val="24"/>
          <w:lang w:eastAsia="ru-RU"/>
        </w:rPr>
      </w:pPr>
    </w:p>
    <w:p w:rsidR="007D5C2E" w:rsidRDefault="007D5C2E"/>
    <w:sectPr w:rsidR="007D5C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879"/>
    <w:rsid w:val="007D5C2E"/>
    <w:rsid w:val="009230CE"/>
    <w:rsid w:val="00FC38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84D3F"/>
  <w15:chartTrackingRefBased/>
  <w15:docId w15:val="{B530D037-4EA6-4B22-B888-9A950468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2673</Words>
  <Characters>15240</Characters>
  <Application>Microsoft Office Word</Application>
  <DocSecurity>0</DocSecurity>
  <Lines>127</Lines>
  <Paragraphs>35</Paragraphs>
  <ScaleCrop>false</ScaleCrop>
  <Company>SPecialiST RePack</Company>
  <LinksUpToDate>false</LinksUpToDate>
  <CharactersWithSpaces>17878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Семагина Татьяна Александровна</dc:creator>
  <cp:keywords/>
  <dc:description/>
  <cp:lastModifiedBy>Семагина Татьяна Александровна</cp:lastModifiedBy>
  <cp:revision>2</cp:revision>
  <dcterms:created xsi:type="dcterms:W3CDTF">2025-05-08T07:29:00Z</dcterms:created>
  <dcterms:modified xsi:type="dcterms:W3CDTF">2025-05-08T07:29:00Z</dcterms:modified>
</cp:coreProperties>
</file>