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C9" w:rsidRPr="006D699E" w:rsidRDefault="009A42C9" w:rsidP="006D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9A42C9" w:rsidRPr="006D699E" w:rsidRDefault="009A42C9" w:rsidP="006D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9A42C9" w:rsidRPr="006D699E" w:rsidRDefault="009A42C9" w:rsidP="006D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ГОРОДА БОДАЙБО И РАЙОНА </w:t>
      </w:r>
    </w:p>
    <w:p w:rsidR="009A42C9" w:rsidRDefault="009A42C9" w:rsidP="006D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C179B4" w:rsidRPr="00C179B4" w:rsidRDefault="00C179B4" w:rsidP="006D69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редакции постановления </w:t>
      </w:r>
      <w:r w:rsidR="007A4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24.01.2024 № 5-пп,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30.01.2025 № 18-пп)</w:t>
      </w:r>
    </w:p>
    <w:p w:rsidR="009A42C9" w:rsidRPr="006D699E" w:rsidRDefault="009A42C9" w:rsidP="006D699E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2C9" w:rsidRDefault="00C90A66" w:rsidP="006D699E">
      <w:pPr>
        <w:spacing w:after="0" w:line="240" w:lineRule="auto"/>
        <w:ind w:right="-4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19.01.</w:t>
      </w:r>
      <w:r w:rsidR="009A42C9" w:rsidRPr="006D6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4F48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9A42C9" w:rsidRPr="006D6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A42C9"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9A42C9"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42C9"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Бодайбо                                        № </w:t>
      </w:r>
      <w:r w:rsidRPr="00C90A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6-пп</w:t>
      </w:r>
    </w:p>
    <w:p w:rsidR="00556BA2" w:rsidRPr="006D699E" w:rsidRDefault="00556BA2" w:rsidP="006D699E">
      <w:pPr>
        <w:spacing w:after="0" w:line="240" w:lineRule="auto"/>
        <w:ind w:right="-4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C9" w:rsidRPr="006D699E" w:rsidRDefault="009A42C9" w:rsidP="006D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Бюджетного</w:t>
      </w:r>
    </w:p>
    <w:p w:rsidR="009A42C9" w:rsidRPr="006D699E" w:rsidRDefault="009A42C9" w:rsidP="006D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муниципального</w:t>
      </w:r>
    </w:p>
    <w:p w:rsidR="009A42C9" w:rsidRPr="006D699E" w:rsidRDefault="009A42C9" w:rsidP="006D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г. Бодайбо и </w:t>
      </w:r>
    </w:p>
    <w:p w:rsidR="009A42C9" w:rsidRPr="006D699E" w:rsidRDefault="009A42C9" w:rsidP="006D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на период до 202</w:t>
      </w:r>
      <w:r w:rsidR="00C9312E"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A42C9" w:rsidRPr="006D699E" w:rsidRDefault="009A42C9" w:rsidP="006D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C9" w:rsidRPr="006D699E" w:rsidRDefault="009A42C9" w:rsidP="006D6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D699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 w:history="1">
        <w:r w:rsidRPr="006D699E">
          <w:rPr>
            <w:rFonts w:ascii="Times New Roman" w:hAnsi="Times New Roman" w:cs="Times New Roman"/>
            <w:sz w:val="24"/>
            <w:szCs w:val="24"/>
          </w:rPr>
          <w:t>ст. 170.1</w:t>
        </w:r>
      </w:hyperlink>
      <w:r w:rsidRPr="006D699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6D699E">
          <w:rPr>
            <w:rFonts w:ascii="Times New Roman" w:hAnsi="Times New Roman" w:cs="Times New Roman"/>
            <w:sz w:val="24"/>
            <w:szCs w:val="24"/>
          </w:rPr>
          <w:t>п. 4 ч. 5 ст. 11</w:t>
        </w:r>
      </w:hyperlink>
      <w:r w:rsidRPr="006D699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6D699E">
          <w:rPr>
            <w:rFonts w:ascii="Times New Roman" w:hAnsi="Times New Roman" w:cs="Times New Roman"/>
            <w:sz w:val="24"/>
            <w:szCs w:val="24"/>
          </w:rPr>
          <w:t>ст. 12</w:t>
        </w:r>
      </w:hyperlink>
      <w:r w:rsidRPr="006D699E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6D699E">
          <w:rPr>
            <w:rFonts w:ascii="Times New Roman" w:hAnsi="Times New Roman" w:cs="Times New Roman"/>
            <w:sz w:val="24"/>
            <w:szCs w:val="24"/>
          </w:rPr>
          <w:t>ч. 1 ст. 39</w:t>
        </w:r>
      </w:hyperlink>
      <w:r w:rsidRPr="006D699E">
        <w:rPr>
          <w:rFonts w:ascii="Times New Roman" w:hAnsi="Times New Roman" w:cs="Times New Roman"/>
          <w:sz w:val="24"/>
          <w:szCs w:val="24"/>
        </w:rPr>
        <w:t xml:space="preserve"> Федерального закона "О стратегическом планировании в Российской Федерации", </w:t>
      </w:r>
      <w:hyperlink r:id="rId10" w:history="1">
        <w:r w:rsidRPr="006D699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D699E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 постановлением Правительства Российской Федерации от 25.06.2015 N 631,</w:t>
      </w:r>
      <w:r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31 Устава муниципального образования г. Бодайбо и района</w:t>
      </w:r>
      <w:r w:rsidRPr="006D699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6D699E">
          <w:rPr>
            <w:rFonts w:ascii="Times New Roman" w:hAnsi="Times New Roman" w:cs="Times New Roman"/>
            <w:sz w:val="24"/>
            <w:szCs w:val="24"/>
          </w:rPr>
          <w:t xml:space="preserve">ст. </w:t>
        </w:r>
      </w:hyperlink>
      <w:r w:rsidRPr="006D699E">
        <w:rPr>
          <w:rFonts w:ascii="Times New Roman" w:hAnsi="Times New Roman" w:cs="Times New Roman"/>
          <w:sz w:val="24"/>
          <w:szCs w:val="24"/>
        </w:rPr>
        <w:t xml:space="preserve">5(1) Положения о бюджетном процессе в муниципальном образовании г. Бодайбо и района, утвержденного решением Думы г. Бодайбо и района 02.04.2008 N 11-па, </w:t>
      </w:r>
      <w:hyperlink r:id="rId12" w:history="1">
        <w:r w:rsidRPr="006D699E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6D699E">
        <w:rPr>
          <w:rFonts w:ascii="Times New Roman" w:hAnsi="Times New Roman" w:cs="Times New Roman"/>
          <w:sz w:val="24"/>
          <w:szCs w:val="24"/>
        </w:rPr>
        <w:t xml:space="preserve"> </w:t>
      </w:r>
      <w:r w:rsidR="00A32865"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утверждения, период действия, а также требования к составу и содержанию бюджетного прогноза муниципального образования г. Бодайбо и района на долгосрочный период</w:t>
      </w:r>
      <w:r w:rsidRPr="006D699E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</w:t>
      </w:r>
      <w:r w:rsidR="00A32865" w:rsidRPr="006D699E">
        <w:rPr>
          <w:rFonts w:ascii="Times New Roman" w:hAnsi="Times New Roman" w:cs="Times New Roman"/>
          <w:sz w:val="24"/>
          <w:szCs w:val="24"/>
        </w:rPr>
        <w:t>А</w:t>
      </w:r>
      <w:r w:rsidRPr="006D699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32865" w:rsidRPr="006D699E">
        <w:rPr>
          <w:rFonts w:ascii="Times New Roman" w:hAnsi="Times New Roman" w:cs="Times New Roman"/>
          <w:sz w:val="24"/>
          <w:szCs w:val="24"/>
        </w:rPr>
        <w:t xml:space="preserve">г. Бодайбо и  района </w:t>
      </w:r>
      <w:r w:rsidRPr="006D699E">
        <w:rPr>
          <w:rFonts w:ascii="Times New Roman" w:hAnsi="Times New Roman" w:cs="Times New Roman"/>
          <w:sz w:val="24"/>
          <w:szCs w:val="24"/>
        </w:rPr>
        <w:t xml:space="preserve">от </w:t>
      </w:r>
      <w:r w:rsidR="00A32865" w:rsidRPr="006D699E">
        <w:rPr>
          <w:rFonts w:ascii="Times New Roman" w:hAnsi="Times New Roman" w:cs="Times New Roman"/>
          <w:sz w:val="24"/>
          <w:szCs w:val="24"/>
        </w:rPr>
        <w:t>07</w:t>
      </w:r>
      <w:r w:rsidRPr="006D699E">
        <w:rPr>
          <w:rFonts w:ascii="Times New Roman" w:hAnsi="Times New Roman" w:cs="Times New Roman"/>
          <w:sz w:val="24"/>
          <w:szCs w:val="24"/>
        </w:rPr>
        <w:t>.</w:t>
      </w:r>
      <w:r w:rsidR="00A32865" w:rsidRPr="006D699E">
        <w:rPr>
          <w:rFonts w:ascii="Times New Roman" w:hAnsi="Times New Roman" w:cs="Times New Roman"/>
          <w:sz w:val="24"/>
          <w:szCs w:val="24"/>
        </w:rPr>
        <w:t>07</w:t>
      </w:r>
      <w:r w:rsidRPr="006D699E">
        <w:rPr>
          <w:rFonts w:ascii="Times New Roman" w:hAnsi="Times New Roman" w:cs="Times New Roman"/>
          <w:sz w:val="24"/>
          <w:szCs w:val="24"/>
        </w:rPr>
        <w:t>.201</w:t>
      </w:r>
      <w:r w:rsidR="00A32865" w:rsidRPr="006D699E">
        <w:rPr>
          <w:rFonts w:ascii="Times New Roman" w:hAnsi="Times New Roman" w:cs="Times New Roman"/>
          <w:sz w:val="24"/>
          <w:szCs w:val="24"/>
        </w:rPr>
        <w:t>9</w:t>
      </w:r>
      <w:r w:rsidRPr="006D699E">
        <w:rPr>
          <w:rFonts w:ascii="Times New Roman" w:hAnsi="Times New Roman" w:cs="Times New Roman"/>
          <w:sz w:val="24"/>
          <w:szCs w:val="24"/>
        </w:rPr>
        <w:t xml:space="preserve"> N </w:t>
      </w:r>
      <w:r w:rsidR="00A32865" w:rsidRPr="006D699E">
        <w:rPr>
          <w:rFonts w:ascii="Times New Roman" w:hAnsi="Times New Roman" w:cs="Times New Roman"/>
          <w:sz w:val="24"/>
          <w:szCs w:val="24"/>
        </w:rPr>
        <w:t>117-п</w:t>
      </w:r>
      <w:r w:rsidRPr="006D699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9A42C9" w:rsidRPr="006D699E" w:rsidRDefault="003D1A5A" w:rsidP="006D69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D1A5A" w:rsidRPr="006D699E" w:rsidRDefault="003D1A5A" w:rsidP="006D699E">
      <w:pPr>
        <w:pStyle w:val="a3"/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</w:t>
      </w:r>
      <w:r w:rsidR="004A0A9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юджетный прогноз муниципального образования г. Бодайбо и района на период до 202</w:t>
      </w:r>
      <w:r w:rsidR="00C9312E"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C9312E"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прилагается).</w:t>
      </w:r>
    </w:p>
    <w:p w:rsidR="00C9312E" w:rsidRPr="006D699E" w:rsidRDefault="00C9312E" w:rsidP="006D699E">
      <w:pPr>
        <w:pStyle w:val="a3"/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силу:</w:t>
      </w:r>
    </w:p>
    <w:p w:rsidR="00C9312E" w:rsidRPr="006D699E" w:rsidRDefault="00C9312E" w:rsidP="006D699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г. Бодайбо и района от </w:t>
      </w:r>
      <w:r w:rsidR="00CB3F44"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>14.02.2020 № 28-пп «Об утверждении Бюджетного прогноза муниципального образования г. Бодайбо и района на период до 2025 года»;</w:t>
      </w:r>
    </w:p>
    <w:p w:rsidR="00CB3F44" w:rsidRPr="006D699E" w:rsidRDefault="00CB3F44" w:rsidP="006D699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г. Бодайбо и района от 15.02.2021 № 26-пп «О внесении изменений в постановление Администрации г. Бодайбо и района от 14.02.2020 № 28-пп»;</w:t>
      </w:r>
    </w:p>
    <w:p w:rsidR="00CB3F44" w:rsidRPr="002B3BFE" w:rsidRDefault="00CB3F44" w:rsidP="006D699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г. Бодайбо и района от 10.02.2022 № 28-пп «О внесении изменений в постановление Администрации г. Бодайбо и района от 14.02.2020 № </w:t>
      </w:r>
      <w:r w:rsidRPr="002B3BFE">
        <w:rPr>
          <w:rFonts w:ascii="Times New Roman" w:eastAsia="Times New Roman" w:hAnsi="Times New Roman" w:cs="Times New Roman"/>
          <w:sz w:val="24"/>
          <w:szCs w:val="24"/>
          <w:lang w:eastAsia="ru-RU"/>
        </w:rPr>
        <w:t>28-пп».</w:t>
      </w:r>
    </w:p>
    <w:p w:rsidR="00FF39CF" w:rsidRPr="002B3BFE" w:rsidRDefault="003D1A5A" w:rsidP="006D69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4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экономического анализа</w:t>
      </w:r>
      <w:r w:rsidR="00822522" w:rsidRPr="004F48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прогнозирования </w:t>
      </w:r>
      <w:r w:rsidR="00822522" w:rsidRPr="004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потребительского рынка </w:t>
      </w:r>
      <w:r w:rsidRPr="004F48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41FF9" w:rsidRPr="004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proofErr w:type="spellStart"/>
      <w:r w:rsidR="00822522" w:rsidRPr="004F48D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Шайдарова</w:t>
      </w:r>
      <w:proofErr w:type="spellEnd"/>
      <w:r w:rsidRPr="004F48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39CF" w:rsidRPr="004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CF" w:rsidRPr="004F48DD">
        <w:rPr>
          <w:rFonts w:ascii="Times New Roman" w:hAnsi="Times New Roman" w:cs="Times New Roman"/>
          <w:sz w:val="24"/>
          <w:szCs w:val="24"/>
        </w:rPr>
        <w:t xml:space="preserve">в течение 10 дней со дня принятия настоящего постановления обеспечить в установленном порядке направление уведомления об утверждении </w:t>
      </w:r>
      <w:r w:rsidR="00FF39CF" w:rsidRPr="002B3BFE">
        <w:rPr>
          <w:rFonts w:ascii="Times New Roman" w:hAnsi="Times New Roman" w:cs="Times New Roman"/>
          <w:sz w:val="24"/>
          <w:szCs w:val="24"/>
        </w:rPr>
        <w:t>Бюджетного прогноза</w:t>
      </w:r>
      <w:r w:rsidR="00FF39CF" w:rsidRPr="002B3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г. Бодайбо и района на период до 202</w:t>
      </w:r>
      <w:r w:rsidR="00074CBA" w:rsidRPr="002B3BF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F39CF" w:rsidRPr="002B3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F39CF" w:rsidRPr="002B3BFE">
        <w:rPr>
          <w:rFonts w:ascii="Times New Roman" w:hAnsi="Times New Roman" w:cs="Times New Roman"/>
          <w:sz w:val="24"/>
          <w:szCs w:val="24"/>
        </w:rPr>
        <w:t xml:space="preserve"> в Министерство экономического развития Российской Федерации в целях государственной регистрации документа стратегического планирования.</w:t>
      </w:r>
    </w:p>
    <w:p w:rsidR="003D1A5A" w:rsidRPr="006D699E" w:rsidRDefault="00FF39CF" w:rsidP="006D699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отдела организационной работы </w:t>
      </w:r>
      <w:r w:rsidR="00C9312E"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="0007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12E"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Кравец</w:t>
      </w:r>
      <w:r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постановление в газете «Ленский шахтер» и разместить на официальном сайте в сети интернет Администрации г.  Бодайбо и района.</w:t>
      </w:r>
    </w:p>
    <w:p w:rsidR="00FF39CF" w:rsidRPr="006D699E" w:rsidRDefault="00FF39CF" w:rsidP="006D699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9CF" w:rsidRPr="006D699E" w:rsidRDefault="00FF39CF" w:rsidP="006D699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9CF" w:rsidRPr="006D699E" w:rsidRDefault="00FF39CF" w:rsidP="006D699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9CF" w:rsidRPr="006D699E" w:rsidRDefault="004F48DD" w:rsidP="006D699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FF39CF"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F39CF"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БОДАЙБО И РАЙОНА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CF" w:rsidRPr="006D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КРИЦКИЙ</w:t>
      </w:r>
    </w:p>
    <w:p w:rsidR="00FF39CF" w:rsidRPr="006D699E" w:rsidRDefault="00FF39CF" w:rsidP="006D699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0B" w:rsidRDefault="0082390B" w:rsidP="0082390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2390B" w:rsidRDefault="0082390B" w:rsidP="0082390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390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2390B" w:rsidRPr="0082390B" w:rsidRDefault="0082390B" w:rsidP="0082390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390B">
        <w:rPr>
          <w:rFonts w:ascii="Times New Roman" w:hAnsi="Times New Roman" w:cs="Times New Roman"/>
          <w:sz w:val="24"/>
          <w:szCs w:val="24"/>
        </w:rPr>
        <w:t>г. Бодайбо и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90B">
        <w:rPr>
          <w:rFonts w:ascii="Times New Roman" w:hAnsi="Times New Roman" w:cs="Times New Roman"/>
          <w:sz w:val="24"/>
          <w:szCs w:val="24"/>
        </w:rPr>
        <w:t xml:space="preserve">от </w:t>
      </w:r>
      <w:r w:rsidR="00C63CC0">
        <w:rPr>
          <w:rFonts w:ascii="Times New Roman" w:hAnsi="Times New Roman" w:cs="Times New Roman"/>
          <w:sz w:val="24"/>
          <w:szCs w:val="24"/>
        </w:rPr>
        <w:t>19.01.</w:t>
      </w:r>
      <w:r w:rsidRPr="0082390B">
        <w:rPr>
          <w:rFonts w:ascii="Times New Roman" w:hAnsi="Times New Roman" w:cs="Times New Roman"/>
          <w:sz w:val="24"/>
          <w:szCs w:val="24"/>
        </w:rPr>
        <w:t xml:space="preserve">2023 г. № </w:t>
      </w:r>
      <w:r w:rsidR="00C63CC0">
        <w:rPr>
          <w:rFonts w:ascii="Times New Roman" w:hAnsi="Times New Roman" w:cs="Times New Roman"/>
          <w:sz w:val="24"/>
          <w:szCs w:val="24"/>
        </w:rPr>
        <w:t>6-пп</w:t>
      </w:r>
    </w:p>
    <w:p w:rsidR="0082390B" w:rsidRDefault="0082390B" w:rsidP="006D69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5B" w:rsidRPr="006D699E" w:rsidRDefault="002C0E5B" w:rsidP="006D69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99E">
        <w:rPr>
          <w:rFonts w:ascii="Times New Roman" w:hAnsi="Times New Roman" w:cs="Times New Roman"/>
          <w:b/>
          <w:sz w:val="24"/>
          <w:szCs w:val="24"/>
        </w:rPr>
        <w:t>Бюджетный прогноз</w:t>
      </w:r>
    </w:p>
    <w:p w:rsidR="002C0E5B" w:rsidRPr="006D699E" w:rsidRDefault="002C0E5B" w:rsidP="006D69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99E">
        <w:rPr>
          <w:rFonts w:ascii="Times New Roman" w:hAnsi="Times New Roman" w:cs="Times New Roman"/>
          <w:b/>
          <w:sz w:val="24"/>
          <w:szCs w:val="24"/>
        </w:rPr>
        <w:t>муниципального образования г. Бодайбо и района</w:t>
      </w:r>
    </w:p>
    <w:p w:rsidR="002C0E5B" w:rsidRPr="006D699E" w:rsidRDefault="002C0E5B" w:rsidP="006D69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99E">
        <w:rPr>
          <w:rFonts w:ascii="Times New Roman" w:hAnsi="Times New Roman" w:cs="Times New Roman"/>
          <w:b/>
          <w:sz w:val="24"/>
          <w:szCs w:val="24"/>
        </w:rPr>
        <w:t>на период до 202</w:t>
      </w:r>
      <w:r w:rsidR="00D34531" w:rsidRPr="006D699E">
        <w:rPr>
          <w:rFonts w:ascii="Times New Roman" w:hAnsi="Times New Roman" w:cs="Times New Roman"/>
          <w:b/>
          <w:sz w:val="24"/>
          <w:szCs w:val="24"/>
        </w:rPr>
        <w:t>8</w:t>
      </w:r>
      <w:r w:rsidRPr="006D699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C0E5B" w:rsidRPr="006D699E" w:rsidRDefault="002C0E5B" w:rsidP="006D69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0E5B" w:rsidRPr="006D699E" w:rsidRDefault="0026756D" w:rsidP="006D69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 xml:space="preserve"> Бюджетный прогноз муниципального образования г. Бодайбо и района на период до 202</w:t>
      </w:r>
      <w:r w:rsidR="00D34531" w:rsidRPr="006D699E">
        <w:rPr>
          <w:rFonts w:ascii="Times New Roman" w:hAnsi="Times New Roman" w:cs="Times New Roman"/>
          <w:sz w:val="24"/>
          <w:szCs w:val="24"/>
        </w:rPr>
        <w:t>8</w:t>
      </w:r>
      <w:r w:rsidRPr="006D699E">
        <w:rPr>
          <w:rFonts w:ascii="Times New Roman" w:hAnsi="Times New Roman" w:cs="Times New Roman"/>
          <w:sz w:val="24"/>
          <w:szCs w:val="24"/>
        </w:rPr>
        <w:t xml:space="preserve"> года (далее – Бюджетный прогноз) разработан в соответствии со статьей 170.1 Бюджетного кодекса Российской Федерации, статьей 5(1) Положения о бюджетном процессе в муниципальном образовании г. Бодайбо и района, утвержденного решением Думы г. Бодайбо и района от 04.04.2008 №11-па, Порядком разработки и утверждения, период действия, а также требований к составу и содержанию бюджетного прогноза муниципального образования г. Бодайбо и района на долгосрочный период, утвержденным постановлением Администрации г. Бодайбо и района от 04.07.2019 № 117-п.</w:t>
      </w:r>
    </w:p>
    <w:p w:rsidR="0026756D" w:rsidRPr="006D699E" w:rsidRDefault="0026756D" w:rsidP="006D69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 xml:space="preserve"> </w:t>
      </w:r>
      <w:r w:rsidR="00AD6BBF" w:rsidRPr="006D699E">
        <w:rPr>
          <w:rFonts w:ascii="Times New Roman" w:hAnsi="Times New Roman" w:cs="Times New Roman"/>
          <w:sz w:val="24"/>
          <w:szCs w:val="24"/>
        </w:rPr>
        <w:t xml:space="preserve">Формирование Бюджетного прогноза необходимо в целях оценки устойчивости бюджета муниципального образования г. Бодайбо и района </w:t>
      </w:r>
      <w:r w:rsidR="00D8329C" w:rsidRPr="006D699E">
        <w:rPr>
          <w:rFonts w:ascii="Times New Roman" w:hAnsi="Times New Roman" w:cs="Times New Roman"/>
          <w:sz w:val="24"/>
          <w:szCs w:val="24"/>
        </w:rPr>
        <w:t xml:space="preserve">(далее - МО г. Бодайбо и района) </w:t>
      </w:r>
      <w:r w:rsidR="00AD6BBF" w:rsidRPr="006D699E">
        <w:rPr>
          <w:rFonts w:ascii="Times New Roman" w:hAnsi="Times New Roman" w:cs="Times New Roman"/>
          <w:sz w:val="24"/>
          <w:szCs w:val="24"/>
        </w:rPr>
        <w:t>на основании ожидаемых результатов экономического развития Бодайбинского района в текущем</w:t>
      </w:r>
      <w:r w:rsidR="009E2CFE" w:rsidRPr="006D699E">
        <w:rPr>
          <w:rFonts w:ascii="Times New Roman" w:hAnsi="Times New Roman" w:cs="Times New Roman"/>
          <w:sz w:val="24"/>
          <w:szCs w:val="24"/>
        </w:rPr>
        <w:t>,</w:t>
      </w:r>
      <w:r w:rsidR="00AD6BBF" w:rsidRPr="006D699E">
        <w:rPr>
          <w:rFonts w:ascii="Times New Roman" w:hAnsi="Times New Roman" w:cs="Times New Roman"/>
          <w:sz w:val="24"/>
          <w:szCs w:val="24"/>
        </w:rPr>
        <w:t xml:space="preserve"> среднесрочном</w:t>
      </w:r>
      <w:r w:rsidR="009E2CFE" w:rsidRPr="006D699E">
        <w:rPr>
          <w:rFonts w:ascii="Times New Roman" w:hAnsi="Times New Roman" w:cs="Times New Roman"/>
          <w:sz w:val="24"/>
          <w:szCs w:val="24"/>
        </w:rPr>
        <w:t>, и долгосрочном</w:t>
      </w:r>
      <w:r w:rsidR="00AD6BBF" w:rsidRPr="006D699E">
        <w:rPr>
          <w:rFonts w:ascii="Times New Roman" w:hAnsi="Times New Roman" w:cs="Times New Roman"/>
          <w:sz w:val="24"/>
          <w:szCs w:val="24"/>
        </w:rPr>
        <w:t xml:space="preserve"> периодах</w:t>
      </w:r>
      <w:r w:rsidRPr="006D699E">
        <w:rPr>
          <w:rFonts w:ascii="Times New Roman" w:hAnsi="Times New Roman" w:cs="Times New Roman"/>
          <w:sz w:val="24"/>
          <w:szCs w:val="24"/>
        </w:rPr>
        <w:t>.</w:t>
      </w:r>
    </w:p>
    <w:p w:rsidR="003B68C7" w:rsidRPr="006D699E" w:rsidRDefault="003B68C7" w:rsidP="006D69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8C7" w:rsidRPr="006D699E" w:rsidRDefault="008F535D" w:rsidP="006D69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99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D69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68C7" w:rsidRPr="006D699E">
        <w:rPr>
          <w:rFonts w:ascii="Times New Roman" w:hAnsi="Times New Roman" w:cs="Times New Roman"/>
          <w:b/>
          <w:sz w:val="24"/>
          <w:szCs w:val="24"/>
        </w:rPr>
        <w:t xml:space="preserve">Условия формирования </w:t>
      </w:r>
      <w:r w:rsidR="004A0A9C">
        <w:rPr>
          <w:rFonts w:ascii="Times New Roman" w:hAnsi="Times New Roman" w:cs="Times New Roman"/>
          <w:b/>
          <w:sz w:val="24"/>
          <w:szCs w:val="24"/>
        </w:rPr>
        <w:t>Б</w:t>
      </w:r>
      <w:r w:rsidR="003B68C7" w:rsidRPr="006D699E">
        <w:rPr>
          <w:rFonts w:ascii="Times New Roman" w:hAnsi="Times New Roman" w:cs="Times New Roman"/>
          <w:b/>
          <w:sz w:val="24"/>
          <w:szCs w:val="24"/>
        </w:rPr>
        <w:t>юджетного прогноза</w:t>
      </w:r>
    </w:p>
    <w:p w:rsidR="00D440EE" w:rsidRPr="006D699E" w:rsidRDefault="003B68C7" w:rsidP="006D69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Бюджетный прогн</w:t>
      </w:r>
      <w:r w:rsidR="00D34531" w:rsidRPr="006D699E">
        <w:rPr>
          <w:rFonts w:ascii="Times New Roman" w:hAnsi="Times New Roman" w:cs="Times New Roman"/>
          <w:sz w:val="24"/>
          <w:szCs w:val="24"/>
        </w:rPr>
        <w:t>оз сформирован на период до 2028</w:t>
      </w:r>
      <w:r w:rsidRPr="006D699E">
        <w:rPr>
          <w:rFonts w:ascii="Times New Roman" w:hAnsi="Times New Roman" w:cs="Times New Roman"/>
          <w:sz w:val="24"/>
          <w:szCs w:val="24"/>
        </w:rPr>
        <w:t xml:space="preserve"> года в соответствии с бюджетным и налоговым законодательством с учетом изменений, вступающих в силу в плановом периоде</w:t>
      </w:r>
      <w:r w:rsidR="002A2013" w:rsidRPr="006D699E">
        <w:rPr>
          <w:rFonts w:ascii="Times New Roman" w:hAnsi="Times New Roman" w:cs="Times New Roman"/>
          <w:sz w:val="24"/>
          <w:szCs w:val="24"/>
        </w:rPr>
        <w:t>.</w:t>
      </w:r>
    </w:p>
    <w:p w:rsidR="002A2013" w:rsidRPr="00E60933" w:rsidRDefault="002A2013" w:rsidP="006D69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933">
        <w:rPr>
          <w:rFonts w:ascii="Times New Roman" w:hAnsi="Times New Roman" w:cs="Times New Roman"/>
          <w:sz w:val="24"/>
          <w:szCs w:val="24"/>
        </w:rPr>
        <w:t>Состав показателей, предусмотренных в долгосрочном прогнозе социально-экономического развития муниципального образования г. Бодайбо и района на период до 202</w:t>
      </w:r>
      <w:r w:rsidR="009E2CFE" w:rsidRPr="00E60933">
        <w:rPr>
          <w:rFonts w:ascii="Times New Roman" w:hAnsi="Times New Roman" w:cs="Times New Roman"/>
          <w:sz w:val="24"/>
          <w:szCs w:val="24"/>
        </w:rPr>
        <w:t>7</w:t>
      </w:r>
      <w:r w:rsidRPr="00E60933">
        <w:rPr>
          <w:rFonts w:ascii="Times New Roman" w:hAnsi="Times New Roman" w:cs="Times New Roman"/>
          <w:sz w:val="24"/>
          <w:szCs w:val="24"/>
        </w:rPr>
        <w:t xml:space="preserve"> года, не позволяет</w:t>
      </w:r>
      <w:r w:rsidR="00697270" w:rsidRPr="00E60933">
        <w:rPr>
          <w:rFonts w:ascii="Times New Roman" w:hAnsi="Times New Roman" w:cs="Times New Roman"/>
          <w:sz w:val="24"/>
          <w:szCs w:val="24"/>
        </w:rPr>
        <w:t xml:space="preserve"> установить вариант разработки Бюджетного прогноза, а также</w:t>
      </w:r>
      <w:r w:rsidRPr="00E60933">
        <w:rPr>
          <w:rFonts w:ascii="Times New Roman" w:hAnsi="Times New Roman" w:cs="Times New Roman"/>
          <w:sz w:val="24"/>
          <w:szCs w:val="24"/>
        </w:rPr>
        <w:t xml:space="preserve"> их прямую взаимосвязь с показателями Бюджетного прогноза.</w:t>
      </w:r>
      <w:r w:rsidR="00D440EE" w:rsidRPr="00E60933">
        <w:rPr>
          <w:rFonts w:ascii="Times New Roman" w:hAnsi="Times New Roman" w:cs="Times New Roman"/>
          <w:sz w:val="24"/>
          <w:szCs w:val="24"/>
        </w:rPr>
        <w:t xml:space="preserve"> Показатели среднемесячной начисленной заработной платы работников бюджетной сферы в сформированном долгосрочном</w:t>
      </w:r>
      <w:r w:rsidRPr="00E60933">
        <w:rPr>
          <w:rFonts w:ascii="Times New Roman" w:hAnsi="Times New Roman" w:cs="Times New Roman"/>
          <w:sz w:val="24"/>
          <w:szCs w:val="24"/>
        </w:rPr>
        <w:t xml:space="preserve"> </w:t>
      </w:r>
      <w:r w:rsidR="00D440EE" w:rsidRPr="00E60933">
        <w:rPr>
          <w:rFonts w:ascii="Times New Roman" w:hAnsi="Times New Roman" w:cs="Times New Roman"/>
          <w:sz w:val="24"/>
          <w:szCs w:val="24"/>
        </w:rPr>
        <w:t>прогнозе социально-экономического развития не соответствуют действительности, т.к. решения о прогнозе среднемесячной заработной плате работников бюджетной сферы в Иркутской области принимаются позже установленных сроков формирования долгосрочного прогноза социально-экономического развития, кроме этого в течение года происходит корректировка прогнозов по заработной плате.</w:t>
      </w:r>
    </w:p>
    <w:p w:rsidR="00DC1991" w:rsidRPr="006D699E" w:rsidRDefault="00DC1991" w:rsidP="006D69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8C7" w:rsidRPr="006D699E" w:rsidRDefault="00DC1991" w:rsidP="006D69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99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D699E">
        <w:rPr>
          <w:rFonts w:ascii="Times New Roman" w:hAnsi="Times New Roman" w:cs="Times New Roman"/>
          <w:b/>
          <w:sz w:val="24"/>
          <w:szCs w:val="24"/>
        </w:rPr>
        <w:t xml:space="preserve">. Основные итоги исполнения </w:t>
      </w:r>
      <w:r w:rsidR="004A0A9C">
        <w:rPr>
          <w:rFonts w:ascii="Times New Roman" w:hAnsi="Times New Roman" w:cs="Times New Roman"/>
          <w:b/>
          <w:sz w:val="24"/>
          <w:szCs w:val="24"/>
        </w:rPr>
        <w:t>б</w:t>
      </w:r>
      <w:r w:rsidRPr="006D699E">
        <w:rPr>
          <w:rFonts w:ascii="Times New Roman" w:hAnsi="Times New Roman" w:cs="Times New Roman"/>
          <w:b/>
          <w:sz w:val="24"/>
          <w:szCs w:val="24"/>
        </w:rPr>
        <w:t>юджета</w:t>
      </w:r>
    </w:p>
    <w:p w:rsidR="00DC1991" w:rsidRPr="006D699E" w:rsidRDefault="00DC1991" w:rsidP="006D69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99E">
        <w:rPr>
          <w:rFonts w:ascii="Times New Roman" w:hAnsi="Times New Roman" w:cs="Times New Roman"/>
          <w:b/>
          <w:sz w:val="24"/>
          <w:szCs w:val="24"/>
        </w:rPr>
        <w:t>муниципального образования г. Бодайбо и района</w:t>
      </w:r>
    </w:p>
    <w:p w:rsidR="009E2CFE" w:rsidRPr="006D699E" w:rsidRDefault="009E2CFE" w:rsidP="006D69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CFE" w:rsidRPr="006D699E" w:rsidRDefault="009E2CFE" w:rsidP="006D69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 xml:space="preserve">За последние несколько лет бюджеты разных уровней столкнулись со сложно прогнозируемыми вызовами, такими как распространение новой </w:t>
      </w:r>
      <w:proofErr w:type="spellStart"/>
      <w:r w:rsidRPr="006D699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D699E">
        <w:rPr>
          <w:rFonts w:ascii="Times New Roman" w:hAnsi="Times New Roman" w:cs="Times New Roman"/>
          <w:sz w:val="24"/>
          <w:szCs w:val="24"/>
        </w:rPr>
        <w:t xml:space="preserve"> инфекции в 2020 году, дальнейшая реализация мер по борьбе с распространением новой </w:t>
      </w:r>
      <w:proofErr w:type="spellStart"/>
      <w:r w:rsidRPr="006D699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D699E">
        <w:rPr>
          <w:rFonts w:ascii="Times New Roman" w:hAnsi="Times New Roman" w:cs="Times New Roman"/>
          <w:sz w:val="24"/>
          <w:szCs w:val="24"/>
        </w:rPr>
        <w:t xml:space="preserve"> инфекции в 2021 – 2022 годах.</w:t>
      </w:r>
    </w:p>
    <w:p w:rsidR="009E2CFE" w:rsidRPr="006D699E" w:rsidRDefault="009E2CFE" w:rsidP="006D69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 xml:space="preserve">Для финансового обеспечения новых расходных обязательств приходилось в оперативном порядке изыскивать финансовые ресурсы, в том числе путем перемещения ассигнований и отказа от проведения отдельных мероприятий. </w:t>
      </w:r>
    </w:p>
    <w:p w:rsidR="009E2CFE" w:rsidRPr="006D699E" w:rsidRDefault="00D8329C" w:rsidP="006D69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Стабильная работа золотодобывающей отрасли на территории Бодайбинского района, а также проводимая работа по наполняемости бюджета МО г. Бодайбо и района и как, следствие, поступление дополнительных доходов в бюджет МО г. Бодайбо и района</w:t>
      </w:r>
      <w:r w:rsidR="009F2272" w:rsidRPr="006D699E">
        <w:rPr>
          <w:rFonts w:ascii="Times New Roman" w:hAnsi="Times New Roman" w:cs="Times New Roman"/>
          <w:sz w:val="24"/>
          <w:szCs w:val="24"/>
        </w:rPr>
        <w:t xml:space="preserve"> в 2021 году позволили исполнить бюджет с большим профицитом, который явился в 2022 году «подушкой безопасности» для своевременного исполнения расходных обязательств.</w:t>
      </w:r>
    </w:p>
    <w:p w:rsidR="009B3F01" w:rsidRPr="006D699E" w:rsidRDefault="009B3F01" w:rsidP="006D699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D699E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6D699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56"/>
        <w:gridCol w:w="1112"/>
        <w:gridCol w:w="1243"/>
        <w:gridCol w:w="1562"/>
        <w:gridCol w:w="1231"/>
        <w:gridCol w:w="1230"/>
      </w:tblGrid>
      <w:tr w:rsidR="009B3F01" w:rsidRPr="006D699E" w:rsidTr="003D0CCA">
        <w:tc>
          <w:tcPr>
            <w:tcW w:w="3256" w:type="dxa"/>
          </w:tcPr>
          <w:p w:rsidR="009B3F01" w:rsidRPr="006D699E" w:rsidRDefault="009B3F01" w:rsidP="006D69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1112" w:type="dxa"/>
          </w:tcPr>
          <w:p w:rsidR="009B3F01" w:rsidRPr="006D699E" w:rsidRDefault="009B3F01" w:rsidP="006D69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9312E" w:rsidRPr="006D699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D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(факт)</w:t>
            </w:r>
          </w:p>
        </w:tc>
        <w:tc>
          <w:tcPr>
            <w:tcW w:w="1243" w:type="dxa"/>
          </w:tcPr>
          <w:p w:rsidR="009B3F01" w:rsidRPr="006D699E" w:rsidRDefault="009B3F01" w:rsidP="006D69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9312E" w:rsidRPr="006D699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D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(факт)</w:t>
            </w:r>
          </w:p>
        </w:tc>
        <w:tc>
          <w:tcPr>
            <w:tcW w:w="1562" w:type="dxa"/>
          </w:tcPr>
          <w:p w:rsidR="009B3F01" w:rsidRPr="006D699E" w:rsidRDefault="009B3F01" w:rsidP="006D69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9312E" w:rsidRPr="006D699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6D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9B3F01" w:rsidRPr="006D699E" w:rsidRDefault="009B3F01" w:rsidP="006D69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b/>
                <w:sz w:val="24"/>
                <w:szCs w:val="24"/>
              </w:rPr>
              <w:t>(ожидаемое исполнение)</w:t>
            </w:r>
          </w:p>
        </w:tc>
        <w:tc>
          <w:tcPr>
            <w:tcW w:w="1231" w:type="dxa"/>
          </w:tcPr>
          <w:p w:rsidR="009B3F01" w:rsidRPr="006D699E" w:rsidRDefault="009B3F01" w:rsidP="006D69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20</w:t>
            </w:r>
            <w:r w:rsidR="00C9312E" w:rsidRPr="006D699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6D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 20</w:t>
            </w:r>
            <w:r w:rsidR="00C9312E" w:rsidRPr="006D699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D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г.,%</w:t>
            </w:r>
          </w:p>
        </w:tc>
        <w:tc>
          <w:tcPr>
            <w:tcW w:w="1230" w:type="dxa"/>
          </w:tcPr>
          <w:p w:rsidR="009B3F01" w:rsidRPr="006D699E" w:rsidRDefault="009B3F01" w:rsidP="006D69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20</w:t>
            </w:r>
            <w:r w:rsidR="00C9312E" w:rsidRPr="006D699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6D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 20</w:t>
            </w:r>
            <w:r w:rsidR="00C9312E" w:rsidRPr="006D699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D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г.,%</w:t>
            </w:r>
          </w:p>
        </w:tc>
      </w:tr>
      <w:tr w:rsidR="009B3F01" w:rsidRPr="006D699E" w:rsidTr="003D0CCA">
        <w:tc>
          <w:tcPr>
            <w:tcW w:w="3256" w:type="dxa"/>
          </w:tcPr>
          <w:p w:rsidR="009B3F01" w:rsidRPr="006D699E" w:rsidRDefault="009B3F01" w:rsidP="006D6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112" w:type="dxa"/>
          </w:tcPr>
          <w:p w:rsidR="009B3F01" w:rsidRPr="006D699E" w:rsidRDefault="00D34531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sz w:val="24"/>
                <w:szCs w:val="24"/>
              </w:rPr>
              <w:t>1 483,7</w:t>
            </w:r>
          </w:p>
        </w:tc>
        <w:tc>
          <w:tcPr>
            <w:tcW w:w="1243" w:type="dxa"/>
          </w:tcPr>
          <w:p w:rsidR="009B3F01" w:rsidRPr="006D699E" w:rsidRDefault="00D34531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sz w:val="24"/>
                <w:szCs w:val="24"/>
              </w:rPr>
              <w:t>1 716,7</w:t>
            </w:r>
          </w:p>
        </w:tc>
        <w:tc>
          <w:tcPr>
            <w:tcW w:w="1562" w:type="dxa"/>
          </w:tcPr>
          <w:p w:rsidR="009B3F01" w:rsidRPr="006D699E" w:rsidRDefault="00D34531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sz w:val="24"/>
                <w:szCs w:val="24"/>
              </w:rPr>
              <w:t>1 727,3</w:t>
            </w:r>
          </w:p>
        </w:tc>
        <w:tc>
          <w:tcPr>
            <w:tcW w:w="1231" w:type="dxa"/>
          </w:tcPr>
          <w:p w:rsidR="009B3F01" w:rsidRPr="006D699E" w:rsidRDefault="00D34531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sz w:val="24"/>
                <w:szCs w:val="24"/>
              </w:rPr>
              <w:t>115,7</w:t>
            </w:r>
          </w:p>
        </w:tc>
        <w:tc>
          <w:tcPr>
            <w:tcW w:w="1230" w:type="dxa"/>
          </w:tcPr>
          <w:p w:rsidR="009B3F01" w:rsidRPr="006D699E" w:rsidRDefault="00D34531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9B3F01" w:rsidRPr="006D699E" w:rsidTr="003D0CCA">
        <w:tc>
          <w:tcPr>
            <w:tcW w:w="3256" w:type="dxa"/>
          </w:tcPr>
          <w:p w:rsidR="009B3F01" w:rsidRPr="006D699E" w:rsidRDefault="009B3F01" w:rsidP="006D6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112" w:type="dxa"/>
          </w:tcPr>
          <w:p w:rsidR="009B3F01" w:rsidRPr="006D699E" w:rsidRDefault="00D34531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sz w:val="24"/>
                <w:szCs w:val="24"/>
              </w:rPr>
              <w:t>1 445,6</w:t>
            </w:r>
          </w:p>
        </w:tc>
        <w:tc>
          <w:tcPr>
            <w:tcW w:w="1243" w:type="dxa"/>
          </w:tcPr>
          <w:p w:rsidR="009B3F01" w:rsidRPr="006D699E" w:rsidRDefault="00D34531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sz w:val="24"/>
                <w:szCs w:val="24"/>
              </w:rPr>
              <w:t>1 648,5</w:t>
            </w:r>
          </w:p>
        </w:tc>
        <w:tc>
          <w:tcPr>
            <w:tcW w:w="1562" w:type="dxa"/>
          </w:tcPr>
          <w:p w:rsidR="009B3F01" w:rsidRPr="006D699E" w:rsidRDefault="00D34531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sz w:val="24"/>
                <w:szCs w:val="24"/>
              </w:rPr>
              <w:t>1 909,3</w:t>
            </w:r>
          </w:p>
        </w:tc>
        <w:tc>
          <w:tcPr>
            <w:tcW w:w="1231" w:type="dxa"/>
          </w:tcPr>
          <w:p w:rsidR="009B3F01" w:rsidRPr="006D699E" w:rsidRDefault="00D34531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230" w:type="dxa"/>
          </w:tcPr>
          <w:p w:rsidR="009B3F01" w:rsidRPr="006D699E" w:rsidRDefault="00D34531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9B3F01" w:rsidRPr="006D699E" w:rsidTr="003D0CCA">
        <w:tc>
          <w:tcPr>
            <w:tcW w:w="3256" w:type="dxa"/>
          </w:tcPr>
          <w:p w:rsidR="009B3F01" w:rsidRPr="006D699E" w:rsidRDefault="009B3F01" w:rsidP="006D6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sz w:val="24"/>
                <w:szCs w:val="24"/>
              </w:rPr>
              <w:t xml:space="preserve">Дефицит </w:t>
            </w:r>
            <w:r w:rsidR="00531297" w:rsidRPr="006D699E">
              <w:rPr>
                <w:rFonts w:ascii="Times New Roman" w:hAnsi="Times New Roman" w:cs="Times New Roman"/>
                <w:sz w:val="24"/>
                <w:szCs w:val="24"/>
              </w:rPr>
              <w:t>(-), профицит (+)</w:t>
            </w:r>
          </w:p>
        </w:tc>
        <w:tc>
          <w:tcPr>
            <w:tcW w:w="1112" w:type="dxa"/>
          </w:tcPr>
          <w:p w:rsidR="009B3F01" w:rsidRPr="006D699E" w:rsidRDefault="00D34531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243" w:type="dxa"/>
          </w:tcPr>
          <w:p w:rsidR="009B3F01" w:rsidRPr="006D699E" w:rsidRDefault="00D34531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562" w:type="dxa"/>
          </w:tcPr>
          <w:p w:rsidR="00773025" w:rsidRPr="006D699E" w:rsidRDefault="00D34531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sz w:val="24"/>
                <w:szCs w:val="24"/>
              </w:rPr>
              <w:t>-182,0</w:t>
            </w:r>
          </w:p>
        </w:tc>
        <w:tc>
          <w:tcPr>
            <w:tcW w:w="1231" w:type="dxa"/>
          </w:tcPr>
          <w:p w:rsidR="009B3F01" w:rsidRPr="006D699E" w:rsidRDefault="009B3F01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B3F01" w:rsidRPr="006D699E" w:rsidRDefault="009B3F01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01" w:rsidRPr="006D699E" w:rsidTr="003D0CCA">
        <w:tc>
          <w:tcPr>
            <w:tcW w:w="3256" w:type="dxa"/>
          </w:tcPr>
          <w:p w:rsidR="009B3F01" w:rsidRPr="006D699E" w:rsidRDefault="009B3F01" w:rsidP="006D6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sz w:val="24"/>
                <w:szCs w:val="24"/>
              </w:rPr>
              <w:t>Процент дефицита</w:t>
            </w:r>
            <w:r w:rsidR="00531297" w:rsidRPr="006D6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9B3F01" w:rsidRPr="006D699E" w:rsidRDefault="00D34531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9B3F01" w:rsidRPr="006D699E" w:rsidRDefault="00D34531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9B3F01" w:rsidRPr="006D699E" w:rsidRDefault="00D34531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231" w:type="dxa"/>
          </w:tcPr>
          <w:p w:rsidR="009B3F01" w:rsidRPr="006D699E" w:rsidRDefault="009B3F01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B3F01" w:rsidRPr="006D699E" w:rsidRDefault="009B3F01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01" w:rsidRPr="006D699E" w:rsidTr="003D0CCA">
        <w:tc>
          <w:tcPr>
            <w:tcW w:w="3256" w:type="dxa"/>
          </w:tcPr>
          <w:p w:rsidR="009B3F01" w:rsidRPr="006D699E" w:rsidRDefault="009B3F01" w:rsidP="006D69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1112" w:type="dxa"/>
          </w:tcPr>
          <w:p w:rsidR="009B3F01" w:rsidRPr="006D699E" w:rsidRDefault="00531297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9B3F01" w:rsidRPr="006D699E" w:rsidRDefault="00531297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9B3F01" w:rsidRPr="006D699E" w:rsidRDefault="00531297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</w:tcPr>
          <w:p w:rsidR="009B3F01" w:rsidRPr="006D699E" w:rsidRDefault="009B3F01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B3F01" w:rsidRPr="006D699E" w:rsidRDefault="009B3F01" w:rsidP="006D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F01" w:rsidRPr="006D699E" w:rsidRDefault="009B3F01" w:rsidP="006D69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1991" w:rsidRPr="006D699E" w:rsidRDefault="00DC1991" w:rsidP="006D69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B68C7" w:rsidRPr="006D699E" w:rsidRDefault="002A2013" w:rsidP="006D69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99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D699E">
        <w:rPr>
          <w:rFonts w:ascii="Times New Roman" w:hAnsi="Times New Roman" w:cs="Times New Roman"/>
          <w:b/>
          <w:sz w:val="24"/>
          <w:szCs w:val="24"/>
        </w:rPr>
        <w:t xml:space="preserve">. Прогноз </w:t>
      </w:r>
      <w:r w:rsidR="00E60933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6D699E">
        <w:rPr>
          <w:rFonts w:ascii="Times New Roman" w:hAnsi="Times New Roman" w:cs="Times New Roman"/>
          <w:b/>
          <w:sz w:val="24"/>
          <w:szCs w:val="24"/>
        </w:rPr>
        <w:t>характеристик бюджета муниципального</w:t>
      </w:r>
    </w:p>
    <w:p w:rsidR="002A2013" w:rsidRPr="006D699E" w:rsidRDefault="002A2013" w:rsidP="006D69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99E">
        <w:rPr>
          <w:rFonts w:ascii="Times New Roman" w:hAnsi="Times New Roman" w:cs="Times New Roman"/>
          <w:b/>
          <w:sz w:val="24"/>
          <w:szCs w:val="24"/>
        </w:rPr>
        <w:t>образования г. Бодайбо и района на период до 202</w:t>
      </w:r>
      <w:r w:rsidR="009F2272" w:rsidRPr="006D699E">
        <w:rPr>
          <w:rFonts w:ascii="Times New Roman" w:hAnsi="Times New Roman" w:cs="Times New Roman"/>
          <w:b/>
          <w:sz w:val="24"/>
          <w:szCs w:val="24"/>
        </w:rPr>
        <w:t>8</w:t>
      </w:r>
      <w:r w:rsidRPr="006D699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65513" w:rsidRPr="006D699E" w:rsidRDefault="00365513" w:rsidP="006D69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148" w:rsidRPr="006D699E" w:rsidRDefault="00E20796" w:rsidP="006D69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 xml:space="preserve">События </w:t>
      </w:r>
      <w:r w:rsidR="007E710A">
        <w:rPr>
          <w:rFonts w:ascii="Times New Roman" w:hAnsi="Times New Roman" w:cs="Times New Roman"/>
          <w:sz w:val="24"/>
          <w:szCs w:val="24"/>
        </w:rPr>
        <w:t>на</w:t>
      </w:r>
      <w:r w:rsidRPr="006D699E">
        <w:rPr>
          <w:rFonts w:ascii="Times New Roman" w:hAnsi="Times New Roman" w:cs="Times New Roman"/>
          <w:sz w:val="24"/>
          <w:szCs w:val="24"/>
        </w:rPr>
        <w:t xml:space="preserve"> Украине и последовавшая за ними геополитическая напряженность радикально изменили ситуацию в экономике России в целом и в золотодобывающей отрасли в частности. Главной проблемой золотодобытчиков на ближайшие годы стал сбыт, падение цены на золото, ограничение доступа к запа</w:t>
      </w:r>
      <w:r w:rsidR="00713148" w:rsidRPr="006D699E">
        <w:rPr>
          <w:rFonts w:ascii="Times New Roman" w:hAnsi="Times New Roman" w:cs="Times New Roman"/>
          <w:sz w:val="24"/>
          <w:szCs w:val="24"/>
        </w:rPr>
        <w:t>дным образцам техники и техно</w:t>
      </w:r>
      <w:r w:rsidRPr="006D699E">
        <w:rPr>
          <w:rFonts w:ascii="Times New Roman" w:hAnsi="Times New Roman" w:cs="Times New Roman"/>
          <w:sz w:val="24"/>
          <w:szCs w:val="24"/>
        </w:rPr>
        <w:t xml:space="preserve">логий, запасных частей. </w:t>
      </w:r>
      <w:r w:rsidR="00713148" w:rsidRPr="006D699E">
        <w:rPr>
          <w:rFonts w:ascii="Times New Roman" w:hAnsi="Times New Roman" w:cs="Times New Roman"/>
          <w:sz w:val="24"/>
          <w:szCs w:val="24"/>
        </w:rPr>
        <w:t xml:space="preserve">Золотодобывающие предприятия вынуждены проводить оптимизационные мероприятия. В таких условиях точность долгосрочного прогнозирования параметров Бюджетного прогноза снижается. </w:t>
      </w:r>
    </w:p>
    <w:p w:rsidR="00373C8F" w:rsidRDefault="00E60933" w:rsidP="004C7F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этого, принятие федерального закона с 01.01.2023 года о введении института единого налогового платежа (далее – ЕНП) несет для муниципальных образований определенные риски. </w:t>
      </w:r>
      <w:r w:rsidR="00FF7DF8">
        <w:rPr>
          <w:rFonts w:ascii="Times New Roman" w:hAnsi="Times New Roman" w:cs="Times New Roman"/>
          <w:sz w:val="24"/>
          <w:szCs w:val="24"/>
        </w:rPr>
        <w:t xml:space="preserve">Так, в новых условиях пени </w:t>
      </w:r>
      <w:r w:rsidR="00FF7DF8" w:rsidRPr="007E710A">
        <w:rPr>
          <w:rFonts w:ascii="Times New Roman" w:hAnsi="Times New Roman" w:cs="Times New Roman"/>
          <w:sz w:val="24"/>
          <w:szCs w:val="24"/>
        </w:rPr>
        <w:t xml:space="preserve">и проценты, предусмотренные </w:t>
      </w:r>
      <w:r w:rsidR="00FF7DF8">
        <w:rPr>
          <w:rFonts w:ascii="Times New Roman" w:hAnsi="Times New Roman" w:cs="Times New Roman"/>
          <w:sz w:val="24"/>
          <w:szCs w:val="24"/>
        </w:rPr>
        <w:t>Налоговым кодексом Российской Федерации, не подлежат с 01.01.2023 года зачислению в местные бюджеты. Предлагаемые изменения уплаты ЕНП по срокам приведет к замедлению поступлений доходов в бюджет в течение года, а также к реальному уменьшению годовых поступлений. В этих условиях необходимо формировать дефицит ниже установленного бюджетным законодательством.</w:t>
      </w:r>
    </w:p>
    <w:p w:rsidR="00007E43" w:rsidRDefault="00FF7DF8" w:rsidP="004C7F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при формировании долгосрочного бюджетного прогноза, начиная с 1 января 2024 года</w:t>
      </w:r>
      <w:r w:rsidR="00007E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был учтен дифференцированный норматив отчислений от налога, взимаемого в связи с применением упрощенной системы налогообложени</w:t>
      </w:r>
      <w:r w:rsidR="00007E4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(далее – УСН), так как его </w:t>
      </w:r>
      <w:r w:rsidRPr="007E710A">
        <w:rPr>
          <w:rFonts w:ascii="Times New Roman" w:hAnsi="Times New Roman" w:cs="Times New Roman"/>
          <w:sz w:val="24"/>
          <w:szCs w:val="24"/>
        </w:rPr>
        <w:t>установлени</w:t>
      </w:r>
      <w:r w:rsidR="007E710A">
        <w:rPr>
          <w:rFonts w:ascii="Times New Roman" w:hAnsi="Times New Roman" w:cs="Times New Roman"/>
          <w:sz w:val="24"/>
          <w:szCs w:val="24"/>
        </w:rPr>
        <w:t>е</w:t>
      </w:r>
      <w:r w:rsidRPr="007E710A">
        <w:rPr>
          <w:rFonts w:ascii="Times New Roman" w:hAnsi="Times New Roman" w:cs="Times New Roman"/>
          <w:sz w:val="24"/>
          <w:szCs w:val="24"/>
        </w:rPr>
        <w:t xml:space="preserve"> </w:t>
      </w:r>
      <w:r w:rsidR="007E710A">
        <w:rPr>
          <w:rFonts w:ascii="Times New Roman" w:hAnsi="Times New Roman" w:cs="Times New Roman"/>
          <w:sz w:val="24"/>
          <w:szCs w:val="24"/>
        </w:rPr>
        <w:t xml:space="preserve">основывается на </w:t>
      </w:r>
      <w:r w:rsidRPr="007E710A">
        <w:rPr>
          <w:rFonts w:ascii="Times New Roman" w:hAnsi="Times New Roman" w:cs="Times New Roman"/>
          <w:sz w:val="24"/>
          <w:szCs w:val="24"/>
        </w:rPr>
        <w:t>стимулирующ</w:t>
      </w:r>
      <w:r w:rsidR="007E710A">
        <w:rPr>
          <w:rFonts w:ascii="Times New Roman" w:hAnsi="Times New Roman" w:cs="Times New Roman"/>
          <w:sz w:val="24"/>
          <w:szCs w:val="24"/>
        </w:rPr>
        <w:t>ем</w:t>
      </w:r>
      <w:r w:rsidRPr="007E7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</w:t>
      </w:r>
      <w:r w:rsidR="007E710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 динамикой</w:t>
      </w:r>
      <w:r w:rsidR="00007E43">
        <w:rPr>
          <w:rFonts w:ascii="Times New Roman" w:hAnsi="Times New Roman" w:cs="Times New Roman"/>
          <w:sz w:val="24"/>
          <w:szCs w:val="24"/>
        </w:rPr>
        <w:t xml:space="preserve"> </w:t>
      </w:r>
      <w:r w:rsidR="00007E43" w:rsidRPr="00007E43">
        <w:rPr>
          <w:rFonts w:ascii="Times New Roman" w:hAnsi="Times New Roman" w:cs="Times New Roman"/>
          <w:sz w:val="24"/>
          <w:szCs w:val="24"/>
        </w:rPr>
        <w:t>поступления УСН, превосходящей индекс потребительских цен.</w:t>
      </w:r>
      <w:r w:rsidR="00007E43">
        <w:rPr>
          <w:rFonts w:ascii="Times New Roman" w:hAnsi="Times New Roman" w:cs="Times New Roman"/>
          <w:sz w:val="24"/>
          <w:szCs w:val="24"/>
        </w:rPr>
        <w:t xml:space="preserve"> </w:t>
      </w:r>
      <w:r w:rsidR="00007E43" w:rsidRPr="00007E43">
        <w:rPr>
          <w:rFonts w:ascii="Times New Roman" w:hAnsi="Times New Roman" w:cs="Times New Roman"/>
          <w:sz w:val="24"/>
          <w:szCs w:val="24"/>
        </w:rPr>
        <w:t xml:space="preserve">В 2022 году данный норматив установлен благодаря лишь выбору предпринимателями данного вида налогообложения после </w:t>
      </w:r>
      <w:r w:rsidR="00007E43">
        <w:rPr>
          <w:rFonts w:ascii="Times New Roman" w:hAnsi="Times New Roman" w:cs="Times New Roman"/>
          <w:sz w:val="24"/>
          <w:szCs w:val="24"/>
        </w:rPr>
        <w:t>отмены единого налога на вмененный доход.</w:t>
      </w:r>
    </w:p>
    <w:p w:rsidR="009442CF" w:rsidRDefault="00007E43" w:rsidP="009442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сентября 2022 года вступили в силу изменения в Федеральный закон от </w:t>
      </w:r>
      <w:r w:rsidR="007E710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.01.2002 № 7-ФЗ «Об охране окружающей среды», согласно которому плата за негативное воздействие на окружающую среду, административные штрафы за правонарушение в области охраны окружающей среды и природопользования, средства от платежей по искам о возмещении вреда, прич</w:t>
      </w:r>
      <w:r w:rsidR="009442C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ненного </w:t>
      </w:r>
      <w:r w:rsidR="009442CF">
        <w:rPr>
          <w:rFonts w:ascii="Times New Roman" w:hAnsi="Times New Roman" w:cs="Times New Roman"/>
          <w:sz w:val="24"/>
          <w:szCs w:val="24"/>
        </w:rPr>
        <w:t>окружающей среде, должны быть направлены на реализацию экологических мероприятий. То есть возможност</w:t>
      </w:r>
      <w:r w:rsidR="007E710A">
        <w:rPr>
          <w:rFonts w:ascii="Times New Roman" w:hAnsi="Times New Roman" w:cs="Times New Roman"/>
          <w:sz w:val="24"/>
          <w:szCs w:val="24"/>
        </w:rPr>
        <w:t>ь</w:t>
      </w:r>
      <w:r w:rsidR="009442CF">
        <w:rPr>
          <w:rFonts w:ascii="Times New Roman" w:hAnsi="Times New Roman" w:cs="Times New Roman"/>
          <w:sz w:val="24"/>
          <w:szCs w:val="24"/>
        </w:rPr>
        <w:t xml:space="preserve"> покрытия общих расходов за счет данного источника уменьшилась.</w:t>
      </w:r>
    </w:p>
    <w:p w:rsidR="009442CF" w:rsidRPr="00007E43" w:rsidRDefault="009442CF" w:rsidP="009442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данных условиях в соответствии с Бюджетным прогнозом ожидается снижение доходов к 2028 году по сравнению с 2022 годом на 51,0 млн. рублей.</w:t>
      </w:r>
    </w:p>
    <w:p w:rsidR="00D440EE" w:rsidRPr="006D699E" w:rsidRDefault="009442CF" w:rsidP="006D69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Безвозмездные поступления в Бюджетном прогнозе планиру</w:t>
      </w:r>
      <w:r w:rsidR="007E710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к 2028 году </w:t>
      </w:r>
      <w:r w:rsidR="007E710A">
        <w:rPr>
          <w:rFonts w:ascii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hAnsi="Times New Roman" w:cs="Times New Roman"/>
          <w:sz w:val="24"/>
          <w:szCs w:val="24"/>
        </w:rPr>
        <w:t>снижение</w:t>
      </w:r>
      <w:r w:rsidR="007E710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 уровню 2022 года на 141,3 тыс. рублей. </w:t>
      </w:r>
      <w:r w:rsidR="00D440EE" w:rsidRPr="00007E43">
        <w:rPr>
          <w:rFonts w:ascii="Times New Roman" w:hAnsi="Times New Roman" w:cs="Times New Roman"/>
          <w:sz w:val="24"/>
          <w:szCs w:val="24"/>
        </w:rPr>
        <w:t xml:space="preserve">Объем безвозмездных поступлений определен на основании проекта закона Иркутской области </w:t>
      </w:r>
      <w:r w:rsidR="00D440EE" w:rsidRPr="00007E43">
        <w:rPr>
          <w:rFonts w:ascii="Times New Roman" w:hAnsi="Times New Roman" w:cs="Times New Roman"/>
          <w:sz w:val="24"/>
          <w:szCs w:val="24"/>
          <w:shd w:val="clear" w:color="auto" w:fill="FFFFFF"/>
        </w:rPr>
        <w:t>"Об областном бюджете на 202</w:t>
      </w:r>
      <w:r w:rsidR="00713148" w:rsidRPr="00007E4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D440EE" w:rsidRPr="00007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713148" w:rsidRPr="00007E43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D440EE" w:rsidRPr="00007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D440EE"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</w:t>
      </w:r>
      <w:r w:rsidR="00713148"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D440EE"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годов". С 202</w:t>
      </w:r>
      <w:r w:rsidR="00713148"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D440EE"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объем безвозмездных поступлений сохранен на уровне 202</w:t>
      </w:r>
      <w:r w:rsidR="00713148"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D440EE"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года.</w:t>
      </w:r>
    </w:p>
    <w:p w:rsidR="003B68C7" w:rsidRPr="006D699E" w:rsidRDefault="000F5FD4" w:rsidP="006D69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Прогноз </w:t>
      </w:r>
      <w:r w:rsidR="00C34097"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расходн</w:t>
      </w:r>
      <w:r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части бюджета</w:t>
      </w:r>
      <w:r w:rsidR="00C34097"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осуществлен исходя из </w:t>
      </w:r>
      <w:r w:rsidR="00C34097"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прогноз</w:t>
      </w:r>
      <w:r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ируемого объема доход</w:t>
      </w:r>
      <w:r w:rsidR="00944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 источников с учетом существующих бюджетных</w:t>
      </w:r>
      <w:r w:rsidR="00745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4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ограничений</w:t>
      </w:r>
      <w:r w:rsidR="00745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размеру </w:t>
      </w:r>
      <w:r w:rsidR="00745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дефицита.</w:t>
      </w:r>
      <w:r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5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учетом </w:t>
      </w:r>
      <w:r w:rsidR="00745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указанных параметров максимальный дефицит запланирован на 2025 год – 4,4 % от доходов за исключением безвозмездных поступлений</w:t>
      </w:r>
      <w:r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45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пределами очередного бюджетного цикла дефицит не превышает 3 %.</w:t>
      </w:r>
    </w:p>
    <w:p w:rsidR="00082AC5" w:rsidRPr="006D699E" w:rsidRDefault="00082AC5" w:rsidP="006D699E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2AC5" w:rsidRPr="006D699E" w:rsidRDefault="00082AC5" w:rsidP="006D699E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69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III</w:t>
      </w:r>
      <w:r w:rsidRPr="006D69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Показатели объема муниципального долга</w:t>
      </w:r>
    </w:p>
    <w:p w:rsidR="00082AC5" w:rsidRPr="006D699E" w:rsidRDefault="00082AC5" w:rsidP="006D699E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B68C7" w:rsidRDefault="0079471C" w:rsidP="007E71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Решениями Думы</w:t>
      </w:r>
      <w:r w:rsidRPr="006D69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бюджете муниципального образования г. Бодайбо и района ежегодно утверждается Программа муниципальных внутренних заимствований, в которой планируется получение кредитов от кредитных организаций на сумму планируемого дефицита бюджета. При фактическом исполнении бюджета</w:t>
      </w:r>
      <w:r w:rsidR="00C700BA"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ежегодно</w:t>
      </w:r>
      <w:r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покрытия дефицита достаточно остатков средств</w:t>
      </w:r>
      <w:r w:rsidR="00C700BA"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счете по учету средств бюджета</w:t>
      </w:r>
      <w:r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</w:t>
      </w:r>
      <w:r w:rsidR="00C700BA"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ложившихся на начало года.</w:t>
      </w:r>
      <w:r w:rsidR="007E71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E710A" w:rsidRPr="006D699E" w:rsidRDefault="007E710A" w:rsidP="007E71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Заемные средства влекут за собой дополнительные расходы в виде уплаты процентов. Правильнее, в условиях замедления роста доходов, сделать акцент на определение приоритетных расходов, более экономному и эффективному их расходованию. Поэтому основные параметры бюджета (доходы, расходы, дефицит) прогнозируются таким образом, что при фактическом исполнении бюджета муниципального образования г. Бодайбо и района муниципальный долг будет отсутствовать.</w:t>
      </w:r>
    </w:p>
    <w:p w:rsidR="008B31E0" w:rsidRPr="006D699E" w:rsidRDefault="008B31E0" w:rsidP="007E71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31E0" w:rsidRPr="006D699E" w:rsidRDefault="008B31E0" w:rsidP="006D699E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99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D699E">
        <w:rPr>
          <w:rFonts w:ascii="Times New Roman" w:hAnsi="Times New Roman" w:cs="Times New Roman"/>
          <w:b/>
          <w:sz w:val="24"/>
          <w:szCs w:val="24"/>
        </w:rPr>
        <w:t>. Основные подходы</w:t>
      </w:r>
    </w:p>
    <w:p w:rsidR="008B31E0" w:rsidRPr="006D699E" w:rsidRDefault="008B31E0" w:rsidP="006D699E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99E">
        <w:rPr>
          <w:rFonts w:ascii="Times New Roman" w:hAnsi="Times New Roman" w:cs="Times New Roman"/>
          <w:b/>
          <w:sz w:val="24"/>
          <w:szCs w:val="24"/>
        </w:rPr>
        <w:t xml:space="preserve"> к формированию бюджетной политики муниципального </w:t>
      </w:r>
    </w:p>
    <w:p w:rsidR="008B31E0" w:rsidRPr="006D699E" w:rsidRDefault="008B31E0" w:rsidP="006D699E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99E">
        <w:rPr>
          <w:rFonts w:ascii="Times New Roman" w:hAnsi="Times New Roman" w:cs="Times New Roman"/>
          <w:b/>
          <w:sz w:val="24"/>
          <w:szCs w:val="24"/>
        </w:rPr>
        <w:t>образования г. Бодайбо и района на долгосрочный период</w:t>
      </w:r>
    </w:p>
    <w:p w:rsidR="009C1337" w:rsidRPr="006D699E" w:rsidRDefault="009C1337" w:rsidP="006D699E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699E" w:rsidRPr="006D699E" w:rsidRDefault="008F7AFB" w:rsidP="006D69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D699E" w:rsidRPr="006D699E">
        <w:rPr>
          <w:rFonts w:ascii="Times New Roman" w:hAnsi="Times New Roman" w:cs="Times New Roman"/>
          <w:sz w:val="24"/>
          <w:szCs w:val="24"/>
        </w:rPr>
        <w:t>еополитические и экономические риски, оценив</w:t>
      </w:r>
      <w:r w:rsidR="00C6493C">
        <w:rPr>
          <w:rFonts w:ascii="Times New Roman" w:hAnsi="Times New Roman" w:cs="Times New Roman"/>
          <w:sz w:val="24"/>
          <w:szCs w:val="24"/>
        </w:rPr>
        <w:t>аются</w:t>
      </w:r>
      <w:r w:rsidR="006D699E" w:rsidRPr="006D699E">
        <w:rPr>
          <w:rFonts w:ascii="Times New Roman" w:hAnsi="Times New Roman" w:cs="Times New Roman"/>
          <w:sz w:val="24"/>
          <w:szCs w:val="24"/>
        </w:rPr>
        <w:t xml:space="preserve"> на уровне Российской Федерации, как высокие и потенциально способные оказать существенное влияние на снижение бюджетной устойчивости</w:t>
      </w:r>
      <w:r w:rsidR="00C6493C">
        <w:rPr>
          <w:rFonts w:ascii="Times New Roman" w:hAnsi="Times New Roman" w:cs="Times New Roman"/>
          <w:sz w:val="24"/>
          <w:szCs w:val="24"/>
        </w:rPr>
        <w:t>. П</w:t>
      </w:r>
      <w:r w:rsidR="006D699E" w:rsidRPr="006D699E">
        <w:rPr>
          <w:rFonts w:ascii="Times New Roman" w:hAnsi="Times New Roman" w:cs="Times New Roman"/>
          <w:sz w:val="24"/>
          <w:szCs w:val="24"/>
        </w:rPr>
        <w:t xml:space="preserve">ри бюджетном планировании на </w:t>
      </w:r>
      <w:r w:rsidR="006D699E">
        <w:rPr>
          <w:rFonts w:ascii="Times New Roman" w:hAnsi="Times New Roman" w:cs="Times New Roman"/>
          <w:sz w:val="24"/>
          <w:szCs w:val="24"/>
        </w:rPr>
        <w:t>долгосрочный</w:t>
      </w:r>
      <w:r w:rsidR="006D699E" w:rsidRPr="006D699E">
        <w:rPr>
          <w:rFonts w:ascii="Times New Roman" w:hAnsi="Times New Roman" w:cs="Times New Roman"/>
          <w:sz w:val="24"/>
          <w:szCs w:val="24"/>
        </w:rPr>
        <w:t xml:space="preserve"> период необходимо подходить к планированию с пониманием готовности проводить мероприятия, позволяющие смягчить воздействие непредвиденных факторов на бюджет муниципального образования г. Бодайбо и района. В данных неблагоприятных геополитических условиях основным направлением бюджетной политики должно стать достижение сбалансированности бюджета.</w:t>
      </w:r>
    </w:p>
    <w:p w:rsidR="006D699E" w:rsidRPr="006D699E" w:rsidRDefault="006D699E" w:rsidP="006D699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Для поддержания сбалансированности бюджета будет продолжено применение мер, направленных на увеличение собственной доходной базы, включение в бюджет в первоочередном порядке расходов на финансирование действующих расходных обязательств, принятия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исполнения, сокращение неэффективных расходов.</w:t>
      </w:r>
    </w:p>
    <w:p w:rsidR="006D699E" w:rsidRPr="006D699E" w:rsidRDefault="006D699E" w:rsidP="006D69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В условиях ограниченности финансовых ресурсов при исполнении бюджета приоритетными направлениями расходов при формировании и исполнении бюджета определить расходы, обеспечивающие социальную стабильность в МО г. Бодайбо и района:</w:t>
      </w:r>
    </w:p>
    <w:p w:rsidR="006D699E" w:rsidRPr="006D699E" w:rsidRDefault="006D699E" w:rsidP="006D69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1. Оплата труда с начислениями на нее работников муниципальных казенных учреждений;</w:t>
      </w:r>
    </w:p>
    <w:p w:rsidR="006D699E" w:rsidRPr="006D699E" w:rsidRDefault="006D699E" w:rsidP="006D69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2. Продукты питания для муниципальных казенных учреждений;</w:t>
      </w:r>
    </w:p>
    <w:p w:rsidR="006D699E" w:rsidRPr="006D699E" w:rsidRDefault="006D699E" w:rsidP="006D69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3. Оплата коммунальных услуг муниципальных казенных учреждений;</w:t>
      </w:r>
    </w:p>
    <w:p w:rsidR="006D699E" w:rsidRPr="006D699E" w:rsidRDefault="006D699E" w:rsidP="006D69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4. Выплата публичных нормативных обязательств МО г. Бодайбо и района;</w:t>
      </w:r>
    </w:p>
    <w:p w:rsidR="006D699E" w:rsidRPr="006D699E" w:rsidRDefault="006D699E" w:rsidP="006D69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5. Расходы резервного фонда администрации МО г. Бодайбо и района;</w:t>
      </w:r>
    </w:p>
    <w:p w:rsidR="006D699E" w:rsidRPr="006D699E" w:rsidRDefault="006D699E" w:rsidP="006D69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6. Предоставление дотации на выравнивание бюджетной обеспеченности поселений;</w:t>
      </w:r>
    </w:p>
    <w:p w:rsidR="006D699E" w:rsidRPr="006D699E" w:rsidRDefault="006D699E" w:rsidP="006D69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 xml:space="preserve">7. Средства на </w:t>
      </w:r>
      <w:proofErr w:type="spellStart"/>
      <w:r w:rsidRPr="006D699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6D699E">
        <w:rPr>
          <w:rFonts w:ascii="Times New Roman" w:hAnsi="Times New Roman" w:cs="Times New Roman"/>
          <w:sz w:val="24"/>
          <w:szCs w:val="24"/>
        </w:rPr>
        <w:t xml:space="preserve"> для получения межбюджетных трансфертов, предоставляемых бюджету МО г. Бодайбо и района из областного бюджета в форме субсидий.</w:t>
      </w:r>
    </w:p>
    <w:p w:rsidR="006D699E" w:rsidRPr="006D699E" w:rsidRDefault="006D699E" w:rsidP="006D699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 xml:space="preserve">Существенный резерв повышения эффективности бюджетных расходов лежит в области подготовки бюджетных решений. В борьбе за эффективное использование </w:t>
      </w:r>
      <w:r w:rsidRPr="006D699E">
        <w:rPr>
          <w:rFonts w:ascii="Times New Roman" w:hAnsi="Times New Roman" w:cs="Times New Roman"/>
          <w:sz w:val="24"/>
          <w:szCs w:val="24"/>
        </w:rPr>
        <w:lastRenderedPageBreak/>
        <w:t xml:space="preserve">бюджетных средств требуется смещение акцента на оценку обоснованности решений. Необходимо активно использовать оценку эффективности бюджетных расходов уже на этапе планирования расходов. </w:t>
      </w:r>
    </w:p>
    <w:p w:rsidR="006D699E" w:rsidRPr="006D699E" w:rsidRDefault="006D699E" w:rsidP="006D6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 xml:space="preserve">В связи с этим формирование и исполнение бюджета МО г. Бодайбо и района </w:t>
      </w:r>
      <w:r>
        <w:rPr>
          <w:rFonts w:ascii="Times New Roman" w:hAnsi="Times New Roman" w:cs="Times New Roman"/>
          <w:sz w:val="24"/>
          <w:szCs w:val="24"/>
        </w:rPr>
        <w:t>в долгосрочной</w:t>
      </w:r>
      <w:r w:rsidRPr="006D699E">
        <w:rPr>
          <w:rFonts w:ascii="Times New Roman" w:hAnsi="Times New Roman" w:cs="Times New Roman"/>
          <w:sz w:val="24"/>
          <w:szCs w:val="24"/>
        </w:rPr>
        <w:t xml:space="preserve"> перспективе будет осуществляться с учетом решения следующих основных задач:</w:t>
      </w:r>
    </w:p>
    <w:p w:rsidR="006D699E" w:rsidRPr="006D699E" w:rsidRDefault="006D699E" w:rsidP="006D699E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1. Проведение политики сдерживания роста бюджетных расходов при безусловном исполнении действующих расходных обязательств. Принятие новых расходных обязательств только при условии наличия финансовых ресурсов на весь период их действия и соответствия их приоритетным направлениям социально-экономического развития.</w:t>
      </w:r>
    </w:p>
    <w:p w:rsidR="006D699E" w:rsidRPr="006D699E" w:rsidRDefault="006D699E" w:rsidP="006D69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 xml:space="preserve">2. Концентрация финансовых ресурсов на приоритетных направлениях расходования бюджетных средств, в том числе доведение заработной платы отдельным категориям работников до установленных значений в рамках исполнения Указов Президента Российской Федерации от 7 мая 2012 года. </w:t>
      </w:r>
    </w:p>
    <w:p w:rsidR="006D699E" w:rsidRPr="006D699E" w:rsidRDefault="006D699E" w:rsidP="006D69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3. Создание условий для повышения доступности и качества предоставления муниципальных услуг, расширение перечня муниципальных услуг, предоставляемых в электронном виде.</w:t>
      </w:r>
    </w:p>
    <w:p w:rsidR="006D699E" w:rsidRPr="006D699E" w:rsidRDefault="006D699E" w:rsidP="006D69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 xml:space="preserve">4. Повышение эффективности расходования бюджетных средств, сокращение неэффективных расходов, в том числе в сфере муниципального управления, выявление и использование резервов для достижения планируемых результатов. </w:t>
      </w:r>
    </w:p>
    <w:p w:rsidR="006D699E" w:rsidRPr="006D699E" w:rsidRDefault="006D699E" w:rsidP="006D699E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5. Повышение эффективности и результативности имеющихся инструментов программно-целевого управления и бюджетирования.</w:t>
      </w:r>
    </w:p>
    <w:p w:rsidR="006D699E" w:rsidRPr="006D699E" w:rsidRDefault="006D699E" w:rsidP="006D699E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Программно-целевой метод планирования расходов бюджета является 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муниципального управления.</w:t>
      </w:r>
    </w:p>
    <w:p w:rsidR="006D699E" w:rsidRPr="006D699E" w:rsidRDefault="006D699E" w:rsidP="006D69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Бюджет МО г. Бодайбо и района формируется по программно-целевому методу, это позволяет:</w:t>
      </w:r>
    </w:p>
    <w:p w:rsidR="006D699E" w:rsidRPr="006D699E" w:rsidRDefault="006D699E" w:rsidP="006D69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- обеспечить взаимосвязь процесса исполнения бюджета с достижением поставленных целей, и запланированных результатов социально-экономического развития МО г. Бодайбо и района;</w:t>
      </w:r>
    </w:p>
    <w:p w:rsidR="006D699E" w:rsidRPr="006D699E" w:rsidRDefault="006D699E" w:rsidP="006D69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- повысить обоснованность  бюджетных ассигнований на этапе их формирования, ответственность и самостоятельность главных распорядителей бюджетных средств;</w:t>
      </w:r>
    </w:p>
    <w:p w:rsidR="006D699E" w:rsidRPr="006D699E" w:rsidRDefault="006D699E" w:rsidP="006D699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- повысить эффективность бюджетных расходов.</w:t>
      </w:r>
    </w:p>
    <w:p w:rsidR="006D699E" w:rsidRPr="006D699E" w:rsidRDefault="006D699E" w:rsidP="006D6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6. Совершенствование механизмов контроля и регулирования контрактной системы закупок товаров, работ, услуг для обеспечения муниципальных нужд с учетом подходов и принципов, принятых на федеральном уровне, в том числе:</w:t>
      </w:r>
    </w:p>
    <w:p w:rsidR="006D699E" w:rsidRPr="006D699E" w:rsidRDefault="006D699E" w:rsidP="006D6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- реализация комплекса мер, направленных на увеличение доступности муниципального заказа для малого бизнеса и доли закупок у субъектов малого предпринимательства;</w:t>
      </w:r>
    </w:p>
    <w:p w:rsidR="006D699E" w:rsidRPr="006D699E" w:rsidRDefault="006D699E" w:rsidP="006D6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- применение практики централизованных закупок для муниципальных нужд;</w:t>
      </w:r>
    </w:p>
    <w:p w:rsidR="006D699E" w:rsidRPr="006D699E" w:rsidRDefault="006D699E" w:rsidP="006D6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 xml:space="preserve">- наращивание уровня информатизации и </w:t>
      </w:r>
      <w:proofErr w:type="spellStart"/>
      <w:r w:rsidRPr="006D699E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6D699E">
        <w:rPr>
          <w:rFonts w:ascii="Times New Roman" w:hAnsi="Times New Roman" w:cs="Times New Roman"/>
          <w:sz w:val="24"/>
          <w:szCs w:val="24"/>
        </w:rPr>
        <w:t xml:space="preserve"> сферы муниципальных закупок</w:t>
      </w:r>
      <w:r w:rsidRPr="006D699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D699E" w:rsidRPr="006D699E" w:rsidRDefault="006D699E" w:rsidP="006D6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8. Совершенствование механизмов муниципального финансового контроля.</w:t>
      </w:r>
    </w:p>
    <w:p w:rsidR="006D699E" w:rsidRPr="006D699E" w:rsidRDefault="006D699E" w:rsidP="006D6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Будет продолжено развитие внутреннего муниципального финансового контроля и контроля за соблюдением законодательства Российской Федерации о контрактной системе в сфере закупок товаров, работ, услуг для обеспечения муниципальных нужд.</w:t>
      </w:r>
    </w:p>
    <w:p w:rsidR="006D699E" w:rsidRPr="006D699E" w:rsidRDefault="006D699E" w:rsidP="006D699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Акцент проверок органом внутреннего муниципального финансового контроля с проверок соблюдения внутренних процедур ведения бюджетного учета все больше будет смещен на:</w:t>
      </w:r>
    </w:p>
    <w:p w:rsidR="006D699E" w:rsidRPr="006D699E" w:rsidRDefault="006D699E" w:rsidP="006D699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 xml:space="preserve">-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</w:t>
      </w:r>
      <w:r w:rsidRPr="006D699E">
        <w:rPr>
          <w:rFonts w:ascii="Times New Roman" w:hAnsi="Times New Roman" w:cs="Times New Roman"/>
          <w:sz w:val="24"/>
          <w:szCs w:val="24"/>
        </w:rPr>
        <w:lastRenderedPageBreak/>
        <w:t>составлению и представлению бухгалтерской (финансовой) отчетности муниципальных учреждений;</w:t>
      </w:r>
    </w:p>
    <w:p w:rsidR="006D699E" w:rsidRPr="006D699E" w:rsidRDefault="006D699E" w:rsidP="006D69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6D699E" w:rsidRPr="006D699E" w:rsidRDefault="006D699E" w:rsidP="006D69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6D699E" w:rsidRPr="006D699E" w:rsidRDefault="006D699E" w:rsidP="006D69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муниципального образования г. Бодайбо и района, а также за соблюдением условий договоров (соглашений) о предоставлении средств из бюджета муниципального образования г. Бодайбо и района, муниципальных контрактов.</w:t>
      </w:r>
    </w:p>
    <w:p w:rsidR="00055D4E" w:rsidRPr="006D699E" w:rsidRDefault="006D699E" w:rsidP="006D6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D699E">
        <w:rPr>
          <w:rFonts w:ascii="Times New Roman" w:hAnsi="Times New Roman" w:cs="Times New Roman"/>
          <w:sz w:val="24"/>
          <w:szCs w:val="24"/>
        </w:rPr>
        <w:t xml:space="preserve">Необходимо развивать систему внутреннего финансового аудита главными распорядителями бюджетных средств, главными администраторами доходов, т.к. это является управленческим инструментом, позволяющим оперативно и своевременно выявлять и устранять риски, возникающие при выполнении бюджетных процедур, и возможные последствия этих рисков, </w:t>
      </w:r>
      <w:r w:rsidRPr="006D699E">
        <w:rPr>
          <w:rFonts w:ascii="Times New Roman" w:hAnsi="Times New Roman" w:cs="Times New Roman"/>
          <w:snapToGrid w:val="0"/>
          <w:sz w:val="24"/>
          <w:szCs w:val="24"/>
        </w:rPr>
        <w:t>существенно улучшить финансовую дисциплину участников бюджетного процесса.</w:t>
      </w:r>
    </w:p>
    <w:p w:rsidR="006D699E" w:rsidRPr="00074CBA" w:rsidRDefault="006D699E" w:rsidP="006D6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55D4E" w:rsidRPr="006D699E" w:rsidRDefault="00055D4E" w:rsidP="006D6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69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V</w:t>
      </w:r>
      <w:r w:rsidRPr="006D69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 Предельные расходы на финансовое обеспечение реализации муниципальных программ</w:t>
      </w:r>
      <w:r w:rsidR="00CD5CD5" w:rsidRPr="006D69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муниципального образования </w:t>
      </w:r>
    </w:p>
    <w:p w:rsidR="00CD5CD5" w:rsidRPr="006D699E" w:rsidRDefault="00CD5CD5" w:rsidP="006D6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69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г. Бодайбо и района на период их действия, прогноз расходов</w:t>
      </w:r>
    </w:p>
    <w:p w:rsidR="00CD5CD5" w:rsidRPr="006D699E" w:rsidRDefault="00CD5CD5" w:rsidP="006D6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69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бюджета на осуществление непрограммных направлений</w:t>
      </w:r>
    </w:p>
    <w:p w:rsidR="00CD5CD5" w:rsidRPr="006D699E" w:rsidRDefault="00CD5CD5" w:rsidP="006D6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69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деятельности</w:t>
      </w:r>
    </w:p>
    <w:p w:rsidR="00CD5CD5" w:rsidRPr="006D699E" w:rsidRDefault="00CD5CD5" w:rsidP="006D6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D68D9" w:rsidRPr="006D699E" w:rsidRDefault="00CD5CD5" w:rsidP="006D6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D69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Предельные расходы на финансовое обеспечение реализации муниципальных программ муниципального образования г. Бодайбо и района </w:t>
      </w:r>
      <w:r w:rsidR="000D68D9" w:rsidRPr="006D69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 непрограммные направления расходов с 2023 - 2025 годов определены в соответствии проектом Решения Думы г. Бодайбо и района «О бюджете муниципального образования г. Бодайбо и района на 2023 год и плановый период 2024 и 2025 годов» и составили на 2023 год - </w:t>
      </w:r>
      <w:r w:rsidR="003F304B" w:rsidRPr="006D699E">
        <w:rPr>
          <w:rFonts w:ascii="Times New Roman" w:hAnsi="Times New Roman" w:cs="Times New Roman"/>
          <w:sz w:val="24"/>
          <w:szCs w:val="24"/>
        </w:rPr>
        <w:t>1 702,6 млрд. рублей,</w:t>
      </w:r>
      <w:r w:rsidR="000D68D9" w:rsidRPr="006D69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2024 год - </w:t>
      </w:r>
      <w:r w:rsidR="003F304B" w:rsidRPr="006D699E">
        <w:rPr>
          <w:rFonts w:ascii="Times New Roman" w:hAnsi="Times New Roman" w:cs="Times New Roman"/>
          <w:sz w:val="24"/>
          <w:szCs w:val="24"/>
        </w:rPr>
        <w:t>1 651,9 млрд. рублей</w:t>
      </w:r>
      <w:r w:rsidR="000D68D9" w:rsidRPr="006D69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на 2025 год - </w:t>
      </w:r>
      <w:r w:rsidR="003F304B" w:rsidRPr="006D699E">
        <w:rPr>
          <w:rFonts w:ascii="Times New Roman" w:hAnsi="Times New Roman" w:cs="Times New Roman"/>
          <w:sz w:val="24"/>
          <w:szCs w:val="24"/>
        </w:rPr>
        <w:t>1 693,6 млрд. рублей</w:t>
      </w:r>
      <w:r w:rsidR="000D68D9" w:rsidRPr="006D69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0D68D9" w:rsidRPr="006D699E" w:rsidRDefault="000D68D9" w:rsidP="006D6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D69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очередном бюджетном цикле будет осуществляться реализация 12 муниципальных программ. </w:t>
      </w:r>
    </w:p>
    <w:p w:rsidR="009C1337" w:rsidRPr="006D699E" w:rsidRDefault="00BB6924" w:rsidP="006D6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D69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связи с тем, что ресурсное обеспечение по ряду муниципальных программ на 202</w:t>
      </w:r>
      <w:r w:rsidR="00FB2C18" w:rsidRPr="006D69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Pr="006D69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-202</w:t>
      </w:r>
      <w:r w:rsidR="00FB2C18" w:rsidRPr="006D69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6D69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годы утверждено на уровне 202</w:t>
      </w:r>
      <w:r w:rsidR="00FB2C18" w:rsidRPr="006D69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 </w:t>
      </w:r>
      <w:r w:rsidRPr="006D69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года, т.е. без учета индексации расходов, в бюджетном прогнозе </w:t>
      </w:r>
      <w:r w:rsidR="007A77FB" w:rsidRPr="006D6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расходы за счет средств местного бюджета спрогнозированы с ростом, исходя из прогнозируемого объема доходов и прогнозируемого дефицита. При внесении изменений в муниципальные программы ресурсное обеспечение реализации </w:t>
      </w:r>
      <w:r w:rsidR="007A77FB" w:rsidRPr="006D69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муниципальных программ будет скорректировано.</w:t>
      </w:r>
    </w:p>
    <w:p w:rsidR="003D0CCA" w:rsidRPr="006D699E" w:rsidRDefault="003D0CCA" w:rsidP="006D6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6D699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Непрограммные расходы на 2023-2025 годы</w:t>
      </w:r>
      <w:r w:rsidR="004C4F56" w:rsidRPr="006D699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в части функционирования</w:t>
      </w:r>
      <w:r w:rsidRPr="006D699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C4F56" w:rsidRPr="006D699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Думы г. Бодайбо и района, Ревизионной комиссии г. Бодайбо и района предусмотрены с ежегодной индексацией расходов. Остальные непрограммные направления на уровне 202</w:t>
      </w:r>
      <w:r w:rsidR="00FB2C18" w:rsidRPr="006D699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5</w:t>
      </w:r>
      <w:r w:rsidR="004C4F56" w:rsidRPr="006D699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года.</w:t>
      </w:r>
    </w:p>
    <w:p w:rsidR="00C179B4" w:rsidRDefault="00C179B4" w:rsidP="006D6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9B4" w:rsidRDefault="00C179B4" w:rsidP="006D6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BA2" w:rsidRDefault="00556BA2" w:rsidP="006D6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BA2" w:rsidRDefault="00556BA2" w:rsidP="006D6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79B4" w:rsidRDefault="00C179B4" w:rsidP="006D6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9B4" w:rsidRDefault="00C179B4" w:rsidP="006D6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79B4" w:rsidRDefault="00C179B4" w:rsidP="006D6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79E0" w:rsidRPr="006D699E" w:rsidRDefault="005479E0" w:rsidP="006D6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479E0" w:rsidRPr="006D699E" w:rsidRDefault="005479E0" w:rsidP="006D6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к Бюджетному прогнозу</w:t>
      </w:r>
    </w:p>
    <w:p w:rsidR="005479E0" w:rsidRPr="006D699E" w:rsidRDefault="005479E0" w:rsidP="006D6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479E0" w:rsidRPr="006D699E" w:rsidRDefault="005479E0" w:rsidP="006D6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 xml:space="preserve">г. Бодайбо и района на период </w:t>
      </w:r>
    </w:p>
    <w:p w:rsidR="005479E0" w:rsidRPr="006D699E" w:rsidRDefault="005479E0" w:rsidP="006D6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до 202</w:t>
      </w:r>
      <w:r w:rsidR="009F2272" w:rsidRPr="006D699E">
        <w:rPr>
          <w:rFonts w:ascii="Times New Roman" w:hAnsi="Times New Roman" w:cs="Times New Roman"/>
          <w:sz w:val="24"/>
          <w:szCs w:val="24"/>
        </w:rPr>
        <w:t>8</w:t>
      </w:r>
      <w:r w:rsidRPr="006D699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479E0" w:rsidRPr="006D699E" w:rsidRDefault="005479E0" w:rsidP="006D6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79E0" w:rsidRPr="006D699E" w:rsidRDefault="005479E0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Прогноз основных характеристик</w:t>
      </w:r>
    </w:p>
    <w:p w:rsidR="005479E0" w:rsidRPr="006D699E" w:rsidRDefault="004A0A9C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479E0" w:rsidRPr="006D699E">
        <w:rPr>
          <w:rFonts w:ascii="Times New Roman" w:hAnsi="Times New Roman" w:cs="Times New Roman"/>
          <w:sz w:val="24"/>
          <w:szCs w:val="24"/>
        </w:rPr>
        <w:t>юджета муниципального образования</w:t>
      </w:r>
    </w:p>
    <w:p w:rsidR="005479E0" w:rsidRDefault="005479E0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99E">
        <w:rPr>
          <w:rFonts w:ascii="Times New Roman" w:hAnsi="Times New Roman" w:cs="Times New Roman"/>
          <w:sz w:val="24"/>
          <w:szCs w:val="24"/>
        </w:rPr>
        <w:t>г. Бодайбо и района</w:t>
      </w:r>
    </w:p>
    <w:p w:rsidR="00CC4A75" w:rsidRDefault="00CC4A75" w:rsidP="006D69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редакции постановления от 24.01.2024 № 5-пп, от 30.01.2025 № 18-пп)</w:t>
      </w:r>
    </w:p>
    <w:p w:rsidR="00AF7B60" w:rsidRPr="006D699E" w:rsidRDefault="00AF7B60" w:rsidP="006D6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D699E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6D699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134"/>
        <w:gridCol w:w="1134"/>
        <w:gridCol w:w="1134"/>
        <w:gridCol w:w="1134"/>
      </w:tblGrid>
      <w:tr w:rsidR="00C179B4" w:rsidRPr="00C179B4" w:rsidTr="007A4409">
        <w:trPr>
          <w:trHeight w:val="481"/>
        </w:trPr>
        <w:tc>
          <w:tcPr>
            <w:tcW w:w="311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2026 г.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2027 г.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2028 г.</w:t>
            </w:r>
          </w:p>
        </w:tc>
      </w:tr>
      <w:tr w:rsidR="00C179B4" w:rsidRPr="00C179B4" w:rsidTr="007A4409">
        <w:tc>
          <w:tcPr>
            <w:tcW w:w="3114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1 787,1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2 075,9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2 051,7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2 085,6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2 122,8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2 181,4</w:t>
            </w:r>
          </w:p>
        </w:tc>
      </w:tr>
      <w:tr w:rsidR="00C179B4" w:rsidRPr="00C179B4" w:rsidTr="007A4409">
        <w:tc>
          <w:tcPr>
            <w:tcW w:w="3114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B4" w:rsidRPr="00C179B4" w:rsidTr="007A4409">
        <w:tc>
          <w:tcPr>
            <w:tcW w:w="3114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- налоговые и неналоговые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1 095,6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1 310,2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1 360,5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1 411,6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1 466,2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1 524,8</w:t>
            </w:r>
          </w:p>
        </w:tc>
      </w:tr>
      <w:tr w:rsidR="00C179B4" w:rsidRPr="00C179B4" w:rsidTr="007A4409">
        <w:tc>
          <w:tcPr>
            <w:tcW w:w="3114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i/>
                <w:sz w:val="24"/>
                <w:szCs w:val="24"/>
              </w:rPr>
              <w:t>Темпы роста налоговых и неналоговых доходов, %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79B4" w:rsidRPr="00C179B4" w:rsidTr="007A4409">
        <w:tc>
          <w:tcPr>
            <w:tcW w:w="3114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- безвозмездные поступления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691,5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765,7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691,1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656,6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656,6</w:t>
            </w:r>
          </w:p>
        </w:tc>
      </w:tr>
      <w:tr w:rsidR="00C179B4" w:rsidRPr="00C179B4" w:rsidTr="007A4409">
        <w:tc>
          <w:tcPr>
            <w:tcW w:w="3114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бюджета - всего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1 823,0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2 135,8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2 143,6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2 177,4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2 218,2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2 280,5</w:t>
            </w:r>
          </w:p>
        </w:tc>
      </w:tr>
      <w:tr w:rsidR="00C179B4" w:rsidRPr="00C179B4" w:rsidTr="007A4409">
        <w:tc>
          <w:tcPr>
            <w:tcW w:w="3114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i/>
                <w:sz w:val="24"/>
                <w:szCs w:val="24"/>
              </w:rPr>
              <w:t>Темпы роста расходов, %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- 5,1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C179B4" w:rsidRPr="00C179B4" w:rsidTr="007A4409">
        <w:tc>
          <w:tcPr>
            <w:tcW w:w="3114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(-)/Профицит (+)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-70,7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-91,9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-91,8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-95,4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-99,1</w:t>
            </w:r>
          </w:p>
        </w:tc>
      </w:tr>
      <w:tr w:rsidR="00C179B4" w:rsidRPr="00C179B4" w:rsidTr="007A4409">
        <w:tc>
          <w:tcPr>
            <w:tcW w:w="3114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i/>
                <w:sz w:val="24"/>
                <w:szCs w:val="24"/>
              </w:rPr>
              <w:t>Отношение дефицита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179B4" w:rsidRPr="00C179B4" w:rsidTr="007A4409">
        <w:tc>
          <w:tcPr>
            <w:tcW w:w="3114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F7B60" w:rsidRPr="006D699E" w:rsidRDefault="00AF7B60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9E0" w:rsidRPr="006D699E" w:rsidRDefault="005479E0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9E0" w:rsidRPr="006D699E" w:rsidRDefault="005479E0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9E0" w:rsidRPr="006D699E" w:rsidRDefault="005479E0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9E0" w:rsidRPr="006D699E" w:rsidRDefault="005479E0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E5B" w:rsidRDefault="002C0E5B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2AB" w:rsidRDefault="009122AB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2AB" w:rsidRDefault="009122AB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2AB" w:rsidRDefault="009122AB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2AB" w:rsidRDefault="009122AB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2AB" w:rsidRDefault="009122AB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2AB" w:rsidRDefault="009122AB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2AB" w:rsidRDefault="009122AB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2AB" w:rsidRDefault="009122AB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2AB" w:rsidRDefault="009122AB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2AB" w:rsidRDefault="009122AB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2AB" w:rsidRDefault="009122AB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2AB" w:rsidRDefault="009122AB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2AB" w:rsidRDefault="009122AB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2AB" w:rsidRDefault="009122AB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2AB" w:rsidRDefault="009122AB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2AB" w:rsidRDefault="009122AB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2AB" w:rsidRDefault="009122AB" w:rsidP="006D6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2AB" w:rsidRDefault="009122AB" w:rsidP="00912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9122AB" w:rsidRDefault="009122AB" w:rsidP="00912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Бюджетному прогнозу</w:t>
      </w:r>
    </w:p>
    <w:p w:rsidR="009122AB" w:rsidRDefault="009122AB" w:rsidP="00912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122AB" w:rsidRDefault="009122AB" w:rsidP="00912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Бодайбо и района на период </w:t>
      </w:r>
    </w:p>
    <w:p w:rsidR="009122AB" w:rsidRDefault="009122AB" w:rsidP="00912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2028 года</w:t>
      </w:r>
    </w:p>
    <w:p w:rsidR="009122AB" w:rsidRDefault="009122AB" w:rsidP="00912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22AB" w:rsidRDefault="009122AB" w:rsidP="00912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финансового обеспечения муниципальных программ муниципального образования г. Бодайбо и района</w:t>
      </w:r>
    </w:p>
    <w:p w:rsidR="00C179B4" w:rsidRPr="00C179B4" w:rsidRDefault="00CC4A75" w:rsidP="00C179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редакции постановления от 24.01.2024 № 5-пп, от 30.01.2025 № 18-пп)</w:t>
      </w:r>
    </w:p>
    <w:p w:rsidR="009122AB" w:rsidRDefault="009122AB" w:rsidP="00912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Style w:val="a4"/>
        <w:tblW w:w="10766" w:type="dxa"/>
        <w:tblInd w:w="-856" w:type="dxa"/>
        <w:tblLook w:val="04A0" w:firstRow="1" w:lastRow="0" w:firstColumn="1" w:lastColumn="0" w:noHBand="0" w:noVBand="1"/>
      </w:tblPr>
      <w:tblGrid>
        <w:gridCol w:w="876"/>
        <w:gridCol w:w="3309"/>
        <w:gridCol w:w="1096"/>
        <w:gridCol w:w="1097"/>
        <w:gridCol w:w="1097"/>
        <w:gridCol w:w="1097"/>
        <w:gridCol w:w="1097"/>
        <w:gridCol w:w="1097"/>
      </w:tblGrid>
      <w:tr w:rsidR="00C179B4" w:rsidRPr="00C179B4" w:rsidTr="007A4409">
        <w:trPr>
          <w:trHeight w:val="481"/>
        </w:trPr>
        <w:tc>
          <w:tcPr>
            <w:tcW w:w="822" w:type="dxa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338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2026 г.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2027 г.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2028 г.</w:t>
            </w:r>
          </w:p>
        </w:tc>
      </w:tr>
      <w:tr w:rsidR="00C179B4" w:rsidRPr="00C179B4" w:rsidTr="007A4409">
        <w:tc>
          <w:tcPr>
            <w:tcW w:w="822" w:type="dxa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бюджета - всего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1 823,0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2 135,8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2 143,6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2 177,4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2 218,2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2 280,5</w:t>
            </w:r>
          </w:p>
        </w:tc>
      </w:tr>
      <w:tr w:rsidR="00C179B4" w:rsidRPr="00C179B4" w:rsidTr="007A4409">
        <w:tc>
          <w:tcPr>
            <w:tcW w:w="822" w:type="dxa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B4" w:rsidRPr="00C179B4" w:rsidTr="007A4409">
        <w:tc>
          <w:tcPr>
            <w:tcW w:w="822" w:type="dxa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338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реализацию муниципальных программ - всего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1 779,2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2 088,4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2 091,2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2 089,5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2 089,8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2 148,1</w:t>
            </w:r>
          </w:p>
        </w:tc>
      </w:tr>
      <w:tr w:rsidR="00C179B4" w:rsidRPr="00C179B4" w:rsidTr="007A4409">
        <w:tc>
          <w:tcPr>
            <w:tcW w:w="822" w:type="dxa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B4" w:rsidRPr="00C179B4" w:rsidTr="007A4409">
        <w:tc>
          <w:tcPr>
            <w:tcW w:w="822" w:type="dxa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338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системы образования </w:t>
            </w:r>
            <w:proofErr w:type="spellStart"/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Бодайбинского</w:t>
            </w:r>
            <w:proofErr w:type="spellEnd"/>
            <w:r w:rsidRPr="00C179B4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1 080,7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1 207,8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1 238,1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1 261,7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1 267,4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1 292,8</w:t>
            </w:r>
          </w:p>
        </w:tc>
      </w:tr>
      <w:tr w:rsidR="00C179B4" w:rsidRPr="00C179B4" w:rsidTr="007A4409">
        <w:tc>
          <w:tcPr>
            <w:tcW w:w="822" w:type="dxa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338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культуры </w:t>
            </w:r>
            <w:proofErr w:type="spellStart"/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Бодайбинского</w:t>
            </w:r>
            <w:proofErr w:type="spellEnd"/>
            <w:r w:rsidRPr="00C179B4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269,0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312,8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346,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354,9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363,7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378,3</w:t>
            </w:r>
          </w:p>
        </w:tc>
      </w:tr>
      <w:tr w:rsidR="00C179B4" w:rsidRPr="00C179B4" w:rsidTr="007A4409">
        <w:tc>
          <w:tcPr>
            <w:tcW w:w="822" w:type="dxa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338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территории муниципального образования г. Бодайбо и района"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202,5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269,1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252,9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284,3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291,2</w:t>
            </w:r>
          </w:p>
        </w:tc>
      </w:tr>
      <w:tr w:rsidR="00C179B4" w:rsidRPr="00C179B4" w:rsidTr="007A4409">
        <w:tc>
          <w:tcPr>
            <w:tcW w:w="822" w:type="dxa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338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 в </w:t>
            </w:r>
            <w:proofErr w:type="spellStart"/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Бодайбинском</w:t>
            </w:r>
            <w:proofErr w:type="spellEnd"/>
            <w:r w:rsidRPr="00C179B4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179B4" w:rsidRPr="00C179B4" w:rsidTr="007A4409">
        <w:tc>
          <w:tcPr>
            <w:tcW w:w="822" w:type="dxa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3338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Бодайбинском</w:t>
            </w:r>
            <w:proofErr w:type="spellEnd"/>
            <w:r w:rsidRPr="00C179B4">
              <w:rPr>
                <w:rFonts w:ascii="Times New Roman" w:hAnsi="Times New Roman" w:cs="Times New Roman"/>
                <w:sz w:val="24"/>
                <w:szCs w:val="24"/>
              </w:rPr>
              <w:t xml:space="preserve"> районе"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C179B4" w:rsidRPr="00C179B4" w:rsidTr="007A4409">
        <w:tc>
          <w:tcPr>
            <w:tcW w:w="822" w:type="dxa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3338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«Строительство, реконструкция, капитальные и текущие ремонты объектов муниципальной собственности муниципального образования г. Бодайбо и района»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C179B4" w:rsidRPr="00C179B4" w:rsidTr="007A4409">
        <w:tc>
          <w:tcPr>
            <w:tcW w:w="822" w:type="dxa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3338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муниципального образования г. Бодайбо и района"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149,3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200,9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147,8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144,2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</w:tr>
      <w:tr w:rsidR="00C179B4" w:rsidRPr="00C179B4" w:rsidTr="007A4409">
        <w:tc>
          <w:tcPr>
            <w:tcW w:w="822" w:type="dxa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1.1.8.</w:t>
            </w:r>
          </w:p>
        </w:tc>
        <w:tc>
          <w:tcPr>
            <w:tcW w:w="3338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«Молодым семьям – доступное жилье»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79B4" w:rsidRPr="00C179B4" w:rsidTr="007A4409">
        <w:tc>
          <w:tcPr>
            <w:tcW w:w="822" w:type="dxa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3338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«Семья и дети </w:t>
            </w:r>
            <w:proofErr w:type="spellStart"/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Бодайбинского</w:t>
            </w:r>
            <w:proofErr w:type="spellEnd"/>
            <w:r w:rsidRPr="00C179B4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C179B4" w:rsidRPr="00C179B4" w:rsidTr="007A4409">
        <w:tc>
          <w:tcPr>
            <w:tcW w:w="822" w:type="dxa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3338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"Муниципальная собственность и земельные правоотношения"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179B4" w:rsidRPr="00C179B4" w:rsidTr="007A4409">
        <w:tc>
          <w:tcPr>
            <w:tcW w:w="822" w:type="dxa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1.1.11.</w:t>
            </w:r>
          </w:p>
        </w:tc>
        <w:tc>
          <w:tcPr>
            <w:tcW w:w="3338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"Профилактика социально-значимых заболеваний на территории </w:t>
            </w:r>
            <w:proofErr w:type="spellStart"/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Бодайбинского</w:t>
            </w:r>
            <w:proofErr w:type="spellEnd"/>
            <w:r w:rsidRPr="00C179B4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79B4" w:rsidRPr="00C179B4" w:rsidTr="007A4409">
        <w:tc>
          <w:tcPr>
            <w:tcW w:w="822" w:type="dxa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1.1.12.</w:t>
            </w:r>
          </w:p>
        </w:tc>
        <w:tc>
          <w:tcPr>
            <w:tcW w:w="3338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"Архитектура и градостроительство в муниципальном образовании г. Бодайбо и района"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79B4" w:rsidRPr="00C179B4" w:rsidTr="007A4409">
        <w:tc>
          <w:tcPr>
            <w:tcW w:w="822" w:type="dxa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338" w:type="dxa"/>
          </w:tcPr>
          <w:p w:rsidR="00C179B4" w:rsidRPr="00C179B4" w:rsidRDefault="00C179B4" w:rsidP="007A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Непрограммные расходы бюджета 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43,8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47,4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52,4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87,9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128,4</w:t>
            </w:r>
          </w:p>
        </w:tc>
        <w:tc>
          <w:tcPr>
            <w:tcW w:w="1101" w:type="dxa"/>
            <w:vAlign w:val="center"/>
          </w:tcPr>
          <w:p w:rsidR="00C179B4" w:rsidRPr="00C179B4" w:rsidRDefault="00C179B4" w:rsidP="007A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B4">
              <w:rPr>
                <w:rFonts w:ascii="Times New Roman" w:hAnsi="Times New Roman" w:cs="Times New Roman"/>
                <w:b/>
                <w:sz w:val="24"/>
                <w:szCs w:val="24"/>
              </w:rPr>
              <w:t>132,4</w:t>
            </w:r>
          </w:p>
        </w:tc>
      </w:tr>
    </w:tbl>
    <w:p w:rsidR="00C179B4" w:rsidRPr="00C179B4" w:rsidRDefault="00C179B4" w:rsidP="00C17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9B4" w:rsidRDefault="00C179B4" w:rsidP="00912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1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81CF1"/>
    <w:multiLevelType w:val="hybridMultilevel"/>
    <w:tmpl w:val="E31A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579B7"/>
    <w:multiLevelType w:val="hybridMultilevel"/>
    <w:tmpl w:val="1448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5B"/>
    <w:rsid w:val="00007E43"/>
    <w:rsid w:val="0001115C"/>
    <w:rsid w:val="00055D4E"/>
    <w:rsid w:val="00074CBA"/>
    <w:rsid w:val="00074D0A"/>
    <w:rsid w:val="00082AC5"/>
    <w:rsid w:val="000D33BF"/>
    <w:rsid w:val="000D68D9"/>
    <w:rsid w:val="000F5FD4"/>
    <w:rsid w:val="00115E60"/>
    <w:rsid w:val="00187386"/>
    <w:rsid w:val="001E5268"/>
    <w:rsid w:val="002177CC"/>
    <w:rsid w:val="0026385D"/>
    <w:rsid w:val="0026756D"/>
    <w:rsid w:val="002A2013"/>
    <w:rsid w:val="002B3BFE"/>
    <w:rsid w:val="002C0E5B"/>
    <w:rsid w:val="00315BF3"/>
    <w:rsid w:val="00363D8E"/>
    <w:rsid w:val="00365513"/>
    <w:rsid w:val="00373C8F"/>
    <w:rsid w:val="0039380B"/>
    <w:rsid w:val="003A6705"/>
    <w:rsid w:val="003B68C7"/>
    <w:rsid w:val="003D0CCA"/>
    <w:rsid w:val="003D1A5A"/>
    <w:rsid w:val="003D558D"/>
    <w:rsid w:val="003F304B"/>
    <w:rsid w:val="00446BA9"/>
    <w:rsid w:val="004A0A9C"/>
    <w:rsid w:val="004C4F56"/>
    <w:rsid w:val="004C7F0A"/>
    <w:rsid w:val="004F48DD"/>
    <w:rsid w:val="00504DC0"/>
    <w:rsid w:val="00531297"/>
    <w:rsid w:val="00534AD1"/>
    <w:rsid w:val="00541FF9"/>
    <w:rsid w:val="005479E0"/>
    <w:rsid w:val="00556BA2"/>
    <w:rsid w:val="005E19B3"/>
    <w:rsid w:val="005F12A1"/>
    <w:rsid w:val="00697270"/>
    <w:rsid w:val="006D699E"/>
    <w:rsid w:val="006F5567"/>
    <w:rsid w:val="00713148"/>
    <w:rsid w:val="00722A9D"/>
    <w:rsid w:val="00745911"/>
    <w:rsid w:val="00773025"/>
    <w:rsid w:val="0079471C"/>
    <w:rsid w:val="007A4409"/>
    <w:rsid w:val="007A77FB"/>
    <w:rsid w:val="007E710A"/>
    <w:rsid w:val="008015E7"/>
    <w:rsid w:val="00822522"/>
    <w:rsid w:val="0082390B"/>
    <w:rsid w:val="008A2368"/>
    <w:rsid w:val="008B31E0"/>
    <w:rsid w:val="008D47AA"/>
    <w:rsid w:val="008E7A4B"/>
    <w:rsid w:val="008F535D"/>
    <w:rsid w:val="008F7AFB"/>
    <w:rsid w:val="0090257E"/>
    <w:rsid w:val="009122AB"/>
    <w:rsid w:val="009442CF"/>
    <w:rsid w:val="009539E7"/>
    <w:rsid w:val="00986336"/>
    <w:rsid w:val="009A42C9"/>
    <w:rsid w:val="009B3F01"/>
    <w:rsid w:val="009B6BA0"/>
    <w:rsid w:val="009C1337"/>
    <w:rsid w:val="009E2CFE"/>
    <w:rsid w:val="009F2272"/>
    <w:rsid w:val="00A10802"/>
    <w:rsid w:val="00A17560"/>
    <w:rsid w:val="00A2597A"/>
    <w:rsid w:val="00A32865"/>
    <w:rsid w:val="00AA5613"/>
    <w:rsid w:val="00AA78FB"/>
    <w:rsid w:val="00AD6BBF"/>
    <w:rsid w:val="00AF7B60"/>
    <w:rsid w:val="00B44B4E"/>
    <w:rsid w:val="00B91ABF"/>
    <w:rsid w:val="00BB6924"/>
    <w:rsid w:val="00BF34B6"/>
    <w:rsid w:val="00C137B6"/>
    <w:rsid w:val="00C179B4"/>
    <w:rsid w:val="00C34097"/>
    <w:rsid w:val="00C63CC0"/>
    <w:rsid w:val="00C6493C"/>
    <w:rsid w:val="00C700BA"/>
    <w:rsid w:val="00C90A66"/>
    <w:rsid w:val="00C9312E"/>
    <w:rsid w:val="00CA4475"/>
    <w:rsid w:val="00CB3F44"/>
    <w:rsid w:val="00CC4A75"/>
    <w:rsid w:val="00CC7599"/>
    <w:rsid w:val="00CD5CD5"/>
    <w:rsid w:val="00D047EF"/>
    <w:rsid w:val="00D272ED"/>
    <w:rsid w:val="00D27F67"/>
    <w:rsid w:val="00D34531"/>
    <w:rsid w:val="00D440EE"/>
    <w:rsid w:val="00D8329C"/>
    <w:rsid w:val="00D95FA6"/>
    <w:rsid w:val="00DC1991"/>
    <w:rsid w:val="00E20796"/>
    <w:rsid w:val="00E60933"/>
    <w:rsid w:val="00F27C67"/>
    <w:rsid w:val="00FA01F7"/>
    <w:rsid w:val="00FB2C18"/>
    <w:rsid w:val="00FF39CF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8B57"/>
  <w15:docId w15:val="{E770CA6C-2B88-42B2-B46B-1BC9CF73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8C7"/>
    <w:pPr>
      <w:ind w:left="720"/>
      <w:contextualSpacing/>
    </w:pPr>
  </w:style>
  <w:style w:type="table" w:styleId="a4">
    <w:name w:val="Table Grid"/>
    <w:basedOn w:val="a1"/>
    <w:uiPriority w:val="39"/>
    <w:rsid w:val="009B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4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0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D6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6D6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C31CBF186F7ACA11ED38A46F1AF8BB4F6D8D137701EDF909EC78A6EF3250DC85A7B5DF5276C5CC2FB318A07A0E6E20ABCF7C49B2ADC47oFM1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9AC31CBF186F7ACA11ED38A46F1AF8BB4F6D8D137701EDF909EC78A6EF3250DC85A7B5DF5276C5CCBFB318A07A0E6E20ABCF7C49B2ADC47oFM1E" TargetMode="External"/><Relationship Id="rId12" Type="http://schemas.openxmlformats.org/officeDocument/2006/relationships/hyperlink" Target="consultantplus://offline/ref=79AC31CBF186F7ACA11ECD87509DF587B7F581DC3D7E1280CEC19CD739FA2F5A8F15221FB12A6F5ECAF064DB48A1BAA45AAFF4C39B29DE58FA877Ao9M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AC31CBF186F7ACA11ED38A46F1AF8BB5FDD9D63C791EDF909EC78A6EF3250DC85A7B5FFD2568559EA1218E4EF7EEFE0EA0E8C48529oDM5E" TargetMode="External"/><Relationship Id="rId11" Type="http://schemas.openxmlformats.org/officeDocument/2006/relationships/hyperlink" Target="consultantplus://offline/ref=79AC31CBF186F7ACA11ECD87509DF587B7F581DC357F138BCFC3C1DD31A32358881A7D08B663635FCAF061DD44FEBFB14BF7FBC48036DD44E6857B98o7MA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AC31CBF186F7ACA11ED38A46F1AF8BB7F6DED637791EDF909EC78A6EF3250DC85A7B5DF5276E5FC8FB318A07A0E6E20ABCF7C49B2ADC47oFM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AC31CBF186F7ACA11ED38A46F1AF8BB4F6D8D137701EDF909EC78A6EF3250DC85A7B5DF5276A56CDFB318A07A0E6E20ABCF7C49B2ADC47oFM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06F09-E400-4462-91A8-C29B0E52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3421</Words>
  <Characters>19503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Меледина</dc:creator>
  <cp:keywords/>
  <dc:description/>
  <cp:lastModifiedBy>Ольга Николаевна Хламова</cp:lastModifiedBy>
  <cp:revision>7</cp:revision>
  <cp:lastPrinted>2023-01-19T04:42:00Z</cp:lastPrinted>
  <dcterms:created xsi:type="dcterms:W3CDTF">2025-01-31T01:29:00Z</dcterms:created>
  <dcterms:modified xsi:type="dcterms:W3CDTF">2025-01-31T03:14:00Z</dcterms:modified>
</cp:coreProperties>
</file>