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Утверждена </w:t>
      </w:r>
    </w:p>
    <w:p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постановлением Администрации г. Бодайбо и района </w:t>
      </w:r>
      <w:r>
        <w:rPr>
          <w:rFonts w:ascii="Times New Roman" w:eastAsia="Tahoma" w:hAnsi="Times New Roman" w:cs="Times New Roman"/>
          <w:sz w:val="24"/>
          <w:szCs w:val="24"/>
        </w:rPr>
        <w:t>от 26.12.2024 № 297-пп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(в редакции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постановлений Администрации г. Бодайбо и района 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15.04.2025 № 83-п; от № 17.06.2025 № 137-пп; от 23.09.2025 № 215-пп;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24.12.2025 № 302-п; от 30.03.2026 № 88-п; от 29.06.2026 184-п</w:t>
      </w:r>
      <w:r>
        <w:rPr>
          <w:rFonts w:ascii="Times New Roman" w:eastAsia="Tahoma" w:hAnsi="Times New Roman" w:cs="Times New Roman"/>
          <w:sz w:val="24"/>
          <w:szCs w:val="24"/>
        </w:rPr>
        <w:t>)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Муниципальная программа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«Развитие культуры Бодайбинского района»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на 2025-2030 годы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Бодайбо,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2025 год  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Паспорт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муниципальной программы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«Развитие культуры Бодайбинского района»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на 2025-2030 годы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4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694"/>
        <w:gridCol w:w="6805"/>
      </w:tblGrid>
      <w:tr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№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п\п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Наименование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Муниципальная программа «Развитие культуры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Бодайбинского района» на 2025-2030 годы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(далее – Программа)</w:t>
            </w:r>
          </w:p>
        </w:tc>
      </w:tr>
      <w:tr>
        <w:trPr>
          <w:trHeight w:val="51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Ответственный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 xml:space="preserve">исполнитель 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Управление культуры администрации муниципального образования г. Бодайбо и района (далее- Управление культуры)</w:t>
            </w:r>
          </w:p>
        </w:tc>
      </w:tr>
      <w:tr>
        <w:trPr>
          <w:trHeight w:val="51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Соисполнители 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 В рамках Программы соисполнители отсутствуют</w:t>
            </w:r>
          </w:p>
        </w:tc>
      </w:tr>
      <w:tr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 xml:space="preserve">Участники 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1.Муниципальное казенное образовательное учреждение дополнительного образования «Детская музыкальная школа г. Бодайбо и района» (далее –МКОУ ДО «ДМШ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г. Бодайбо и района»)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2. Муниципальное казенное учреждение «Культурно-досуговый центр г. Бодайбо и района» (далее – МКУ «КДЦ г. Бодайбо и района»)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3. Муниципальное казенное учреждение культуры «Централизованная библиотечная система г. Бодайбо и района» (далее – МКУК «ЦБС г. Бодайбо и района»)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4. Муниципальное казенное учреждение культуры «Бодайбинский городской краеведческий музей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им. В.Ф. Верещагина» (далее – Бодайбинский городской краеведческий музей)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5. Муниципальное казенное учреждение культуры «Централизованная бухгалтерия управления культуры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г. Бодайбо и района» (далее – МКУК «Централизованная бухгалтерия»)</w:t>
            </w:r>
          </w:p>
        </w:tc>
      </w:tr>
      <w:t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Цель Программы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Создание условий для комплексного развития культурного потенциала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населения Бодайбинского района, повышения качества услуг, предоставляемых учреждениями культуры</w:t>
            </w:r>
          </w:p>
        </w:tc>
      </w:tr>
      <w:t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Задачи 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Создание условий для организации досуга и обеспечения жителей Бодайбинского района услугами учреждений культуры.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4. Сохранение и развитие экспозиционно-выставочной деятельности муниципального музея.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5. Совершенствование организационного, методического, экономического механизмов функционирования сферы культуры района.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6. Организация переподготовки и повышения квалификации работников учреждений культуры.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  <w:lang w:eastAsia="ar-SA"/>
              </w:rPr>
            </w:pPr>
          </w:p>
        </w:tc>
      </w:tr>
      <w:tr>
        <w:trPr>
          <w:trHeight w:val="5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Сроки реализации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2025-2030 годы</w:t>
            </w:r>
          </w:p>
        </w:tc>
      </w:tr>
      <w:tr>
        <w:trPr>
          <w:trHeight w:val="63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 xml:space="preserve">Целевые 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показатели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- доля охвата детей Бодайбинского района эстетическим образованием относительно числу обучающихся в общеобразовательных школах с 1-го по 7 классы;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сохранение численности учащихся музыкальных школ;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доля обучающихся, принимающих участие в конкурсах, смотрах и других творческих мероприятиях от общего числа обучающихся в музыкальных школах.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2. Создание условий для организации досуга и обеспечения жителей Бодайбинского района услугами учреждений культуры: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количество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участников кружков и клубных формирований;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культурно-массовых мероприятий на платной основе;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посетителей культурно-массовых мероприятий на платной основе;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зрителей кинопоказов на платной основе.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выданных экземпляров библиотечного фонда читателям;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выполненных справок (консультаций) пользователям;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зарегистрированных пользователей муниципальных библиотек;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количество трансляций, проведенных в виртуальном концертном зале.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4. Сохранение и развитие экспозиционно-выставочной деятельности муниципального музея: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представленных (во всех формах) зрителю музейных предметов основного и вспомогательного фондов;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количество посетителей музея;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выездных выставок.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5. Совершенствование организационного, методического, экономического механизмов функционирования сферы культуры района: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обоснованных замечаний со стороны контролирующих, надзорных органов и вышестоящих организаций;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жалоб, поданных на качество оказываемых услуг в сфере культуры.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6. Организация переподготовки и повышения квалификации работников учреждений культуры: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- количество работников, прошедших переподготовку и повышение квалификации.</w:t>
            </w:r>
          </w:p>
        </w:tc>
      </w:tr>
      <w:tr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Подпрограммы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В рамках Программы подпрограммы не предусмотрены</w:t>
            </w:r>
          </w:p>
        </w:tc>
      </w:tr>
      <w:tr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Ресурсное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Программы составляет-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2 468 126,5 тыс. руб., в том числе по годам:</w:t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-  346 564,8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435 208,3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2027 год – 411 492,0 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2028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423 278,0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417 484,6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434 098,8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  <w: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 счет средств бюджета муниципального образования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Бодайбо и района – 2 461 574,3 тыс. руб., в том числе по годам: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-  345 459,5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год – 430 276,0 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411 237,0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2028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423 018,4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2029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417 484,6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434 098,8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 счет средств областного бюджета – 5883,1 тыс. руб., в том числе по годам: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– 965,9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год - 4752,4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  79,1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 год –   85,7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2030 год –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счет средств федерального бюджета – 669,1 тыс. руб., в том числе по годам: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– 139,4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год – 179,9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175,9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 год – 173,9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–     0,0 тыс. руб.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Объем финансирования Программы ежегодно уточняется при формировании бюджета муниципального образования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Бодайбо и района на соответствующий финансовый год и плановый период, исходя из возможностей бюджета и затрат, необходимых на реализацию Программы.</w:t>
            </w:r>
          </w:p>
        </w:tc>
      </w:tr>
      <w:tr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Ожидаемые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конечные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результаты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реализации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lastRenderedPageBreak/>
              <w:t>Задача1.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1) сохранение доли охвата детей Бодайбинского района эстетическим образованием относительно числу обучающихся в общеобразовательных школах с 1-го по 7 классы в объеме 0 %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сохранение численности учащихся музыкальных школ от общего количества обучающихся в музыкальных школах в объеме 90 % ежегодно.                                   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3) увеличение доли обучающихся, принимающих участие в конкурсах, смотрах и других творческих мероприятиях от общего числа обучающихся в музыкальных школах до 100 %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2.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Создание условий для организации досуга и обеспечения жителей Бодайбинского района услугами учреждений культуры: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1) сохранение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количества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- 64 единицы ежегодно,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сохранение количества участников кружков и клубных формирований в количестве 825 человек ежегодно.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3) увеличение количества культурно-массовых мероприятий на платной основе до 665 единиц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4) увеличение количества посещений культурно-массовых мероприятий на платной основе до 16000 человек к 2031 году. 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5) увеличение количества зрителей кинопоказов на платной основе до 12000 человек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3.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1) увеличение количества выданных экземпляров библиотечного фонда читателям до 330600 единиц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увеличение количества выполненных справок (консультаций) пользователям до 9200 единиц к 2031 году.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3) сохранение количества зарегистрированных пользователей муниципальных библиотек – 12170 человек ежегодно.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4)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сохранение количества трансляций, проведенных в виртуальном концертном зале, в количестве 20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4.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Сохранение и развитие экспозиционно-выставочной деятельности муниципального музея: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1)  увеличение количества представленных (во всех формах) зрителю музейных предметов основного и вспомогательного фондов до 2920 единиц к 2031 году.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увеличение количества посетителей музея до 3530 человек к 2031 году.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3) сохранение количества выездных выставок - 12 единиц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5.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Совершенствование организационного, методического, экономического механизмов функционирования сферы культуры района: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1) уменьшение количества обоснованных замечаний со стороны контролирующих, надзорных органов и вышестоящих организаций до 1 единицы ежегодно.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2) уменьшение количества поданных жалоб на качество оказываемых услуг в сфере культуры до 1 единицы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6.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Организация переподготовки и повышения квалификации работников учреждений культуры:</w:t>
            </w:r>
          </w:p>
          <w:p>
            <w:pPr>
              <w:pStyle w:val="aa"/>
              <w:numPr>
                <w:ilvl w:val="0"/>
                <w:numId w:val="8"/>
              </w:numPr>
              <w:spacing w:after="0" w:line="240" w:lineRule="auto"/>
              <w:ind w:left="0" w:firstLine="9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увеличение количества работников, прошедших переподготовку и повышение квалификации до 10 человек к 2031 году.</w:t>
            </w:r>
          </w:p>
        </w:tc>
      </w:tr>
    </w:tbl>
    <w:p>
      <w:pPr>
        <w:tabs>
          <w:tab w:val="left" w:pos="0"/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4"/>
        </w:rPr>
      </w:pPr>
    </w:p>
    <w:p>
      <w:pPr>
        <w:tabs>
          <w:tab w:val="left" w:pos="0"/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Раздел 1. Характеристика текущего состояния сферы культуры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4"/>
        </w:rPr>
      </w:pPr>
    </w:p>
    <w:p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4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Сфера культуры является важным гуманитарным ресурсом социально-экономического развития муниципального образования г. Бодайбо и района.</w:t>
      </w:r>
    </w:p>
    <w:p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Реализацию права жителей города Бодайбо и района на участие в культурной жизни и пользование учреждениями культуры, на доступ к культурным ценностям обеспечивает сеть общедоступных муниципальных учреждений культуры, входящих в состав Управления культуры. </w:t>
      </w:r>
    </w:p>
    <w:p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На местном уровне вопросы муниципальной политики в сфере культуры закреплены за Управлением культуры. Полномочия Управления культуры определены Положением об управлении культуры администрации муниципального образования г. Бодайбо и района, утвержденным решением Думы г. Бодайбо и района </w:t>
      </w:r>
      <w:hyperlink r:id="rId6" w:anchor="64U0IK" w:history="1">
        <w:r>
          <w:rPr>
            <w:rStyle w:val="ad"/>
            <w:color w:val="auto"/>
            <w:sz w:val="26"/>
            <w:szCs w:val="26"/>
            <w:u w:val="none"/>
          </w:rPr>
          <w:t xml:space="preserve">от 09 декабря 2011 года </w:t>
        </w:r>
      </w:hyperlink>
      <w:r>
        <w:rPr>
          <w:rStyle w:val="ad"/>
          <w:color w:val="auto"/>
          <w:sz w:val="26"/>
          <w:szCs w:val="26"/>
          <w:u w:val="none"/>
        </w:rPr>
        <w:t>№ 37-па</w:t>
      </w:r>
      <w:r>
        <w:rPr>
          <w:sz w:val="26"/>
          <w:szCs w:val="26"/>
        </w:rPr>
        <w:t xml:space="preserve">. В ведомственном подчинении Управления культуры находятся 5 юридических лиц.  </w:t>
      </w:r>
    </w:p>
    <w:p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 состоянию на 01.12.2024: </w:t>
      </w:r>
    </w:p>
    <w:p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Услуги дополнительного образования детей в сфере культуры предоставляют 4 учреждения дополнительного образования- музыкальные школы в г. Бодайбо и в поселках </w:t>
      </w:r>
      <w:proofErr w:type="spellStart"/>
      <w:r>
        <w:rPr>
          <w:sz w:val="26"/>
          <w:szCs w:val="26"/>
        </w:rPr>
        <w:t>Мамакан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Балахнинский</w:t>
      </w:r>
      <w:proofErr w:type="spellEnd"/>
      <w:r>
        <w:rPr>
          <w:sz w:val="26"/>
          <w:szCs w:val="26"/>
        </w:rPr>
        <w:t xml:space="preserve">, Артемовский. Все музыкальные школы района входят в состав </w:t>
      </w:r>
      <w:r>
        <w:rPr>
          <w:rFonts w:eastAsia="Calibri"/>
          <w:sz w:val="26"/>
          <w:szCs w:val="26"/>
        </w:rPr>
        <w:t>Муниципального казенного образовательного учреждения дополнительного образования «Детская музыкальная школа г. Бодайбо и района» и осуществляют деятельность по обеспечению возможности получения детьми и подростками дополнительного образования в сфере культуры. В музыкальных школах района проходит обучение по следующим отделениям: народное (гитара, баян, аккордеон), фортепианное, театральное, вокальное. Ежегодно в музыкальных школах района обучается порядка 140 детей.</w:t>
      </w:r>
    </w:p>
    <w:p>
      <w:pPr>
        <w:pStyle w:val="formattext"/>
        <w:tabs>
          <w:tab w:val="left" w:pos="709"/>
          <w:tab w:val="left" w:pos="851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Услуги по организации досуга населения предоставляет МКУ «КДЦ г. Бодайбо и района», в состав которого входят 4 клуба, 5 досуговых центров, городской парк культуры и кинотеатр. Ежегодно в учреждениях культуры клубного типа проходит более 500 мероприятий на платной основе, которые посещают более 15000 человек.  Более 55000 посещений культурно-массовых мероприятий на безвозмездной основе. На базе учреждений осуществляют свою деятельность 64 клубных формирования, которые посещают более 800 человек разных возрастных категорий. Это вокальные и театральные кружки, кружки по народно-прикладному творчеству. В досуговом центре п. Перевоз действует творческое объединение «</w:t>
      </w:r>
      <w:proofErr w:type="spellStart"/>
      <w:r>
        <w:rPr>
          <w:sz w:val="26"/>
          <w:szCs w:val="26"/>
        </w:rPr>
        <w:t>Сардаана</w:t>
      </w:r>
      <w:proofErr w:type="spellEnd"/>
      <w:r>
        <w:rPr>
          <w:sz w:val="26"/>
          <w:szCs w:val="26"/>
        </w:rPr>
        <w:t xml:space="preserve">», которое проводит большую. работу по сохранению культуры и самобытности эвенков, проживающих на территории </w:t>
      </w:r>
      <w:proofErr w:type="spellStart"/>
      <w:r>
        <w:rPr>
          <w:sz w:val="26"/>
          <w:szCs w:val="26"/>
        </w:rPr>
        <w:t>Жуинского</w:t>
      </w:r>
      <w:proofErr w:type="spellEnd"/>
      <w:r>
        <w:rPr>
          <w:sz w:val="26"/>
          <w:szCs w:val="26"/>
        </w:rPr>
        <w:t xml:space="preserve"> сельского поселения.</w:t>
      </w:r>
    </w:p>
    <w:p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В 2019 году в г. Бодайбо открылся кинотеатр «Витим», который ежегодно посещают более 10000 человек. Городской парк культуры стал одним из любимых мест горожан. В парке работают прокат детских автомобилей и батуты, установлены тренажеры, уличные шахматы. Приобретено мультимедийное оборудование для летнего кинотеатра. В 2024 году открылся танцевальный зал в Культурно-досуговом центре, который предлагает населению услуги по организации досуга.</w:t>
      </w:r>
    </w:p>
    <w:p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Библиотечное обслуживание населения осуществляет МКУК «ЦБС г. Бодайбо и района», в состав которого входят 8 библиотек. Совокупный библиотечный фонд составляет </w:t>
      </w:r>
      <w:r>
        <w:rPr>
          <w:sz w:val="26"/>
          <w:szCs w:val="26"/>
        </w:rPr>
        <w:lastRenderedPageBreak/>
        <w:t>более 18000 экземпляров. Количество зарегистрированных читателей-более 10000 человек. Все библиотеки района имеют доступ к телекоммуникационной сети «Интернет», на базе шести библиотек работают информационные центры. Более 9000 информационных справок предоставляют населению библиотекари района. В 2023 году, благодаря участию коллектива в проекте «Цифровая культура» национального проекта «Культура», на базе Центральной городской библиотеки им. Светланы Кузнецовой создан Виртуальный концертный зал.</w:t>
      </w:r>
    </w:p>
    <w:p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Музейное обслуживание населения осуществляет единственный в районе </w:t>
      </w:r>
      <w:proofErr w:type="spellStart"/>
      <w:r>
        <w:rPr>
          <w:sz w:val="26"/>
          <w:szCs w:val="26"/>
        </w:rPr>
        <w:t>Бодайбиский</w:t>
      </w:r>
      <w:proofErr w:type="spellEnd"/>
      <w:r>
        <w:rPr>
          <w:sz w:val="26"/>
          <w:szCs w:val="26"/>
        </w:rPr>
        <w:t xml:space="preserve"> городской краеведческий музей, который носит имя его основателя В.Ф. Верещагина. Музей предлагает посетителям четыре выставочных зала с постоянными экспозициями: исторический зал, военный зал, промышленный зал и зал природы. Регулярно вниманию жителей и гостей города музей предлагает временные и передвижные выставки различной тематики-  патриотическая направленность, памятные даты, авторские работы </w:t>
      </w:r>
      <w:proofErr w:type="spellStart"/>
      <w:r>
        <w:rPr>
          <w:sz w:val="26"/>
          <w:szCs w:val="26"/>
        </w:rPr>
        <w:t>бодайбинских</w:t>
      </w:r>
      <w:proofErr w:type="spellEnd"/>
      <w:r>
        <w:rPr>
          <w:sz w:val="26"/>
          <w:szCs w:val="26"/>
        </w:rPr>
        <w:t xml:space="preserve"> мастеров, комнатные растения и много другого. Большой популярностью у посетителей пользуются проводимые коллективом музея музейные занятия, </w:t>
      </w:r>
      <w:proofErr w:type="spellStart"/>
      <w:r>
        <w:rPr>
          <w:sz w:val="26"/>
          <w:szCs w:val="26"/>
        </w:rPr>
        <w:t>квесты</w:t>
      </w:r>
      <w:proofErr w:type="spellEnd"/>
      <w:r>
        <w:rPr>
          <w:sz w:val="26"/>
          <w:szCs w:val="26"/>
        </w:rPr>
        <w:t>, конкурсы и викторины.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КУК «Централизованная бухгалтерия» имеет в своей структуре 1 головное учреждение и 2 необособленных структурных подразделения, осуществляет работу по обеспечению бухгалтерского обслуживания финансово-хозяйственной деятельности, ведению организационного, юридического, кадрового сопровождения, административного и хозяйственного обеспечения деятельности всех учреждений.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Четыре юридических лица, подведомственных Управлению культуры, непосредственно оказывают услуги сферы культуры населению, в их состав входят 24 структурных подразделения.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Сеть учреждений распределена по территории Бодайбинского района равномерно, и городское население и население поселков имеют равный доступ к получению услуг сферы культуры.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Исключение составляют музыкальные школы. За последние годы в районе закрыты музыкальные школы в поселках Перевоз и Кропоткин. Дети и подростки вышеуказанных поселков не имеют возможности получения дополнительного образования сферы культуры. Данная ситуация сложилась из-за отсутствия педагогов дополнительного образования.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отрасли культуры на территории муниципального образования г. Бодайбо и района трудится 186 человек основного персонала и 41 человек - внешние совместители. 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Музыкальные школы занимаются музыкальным и художественно-эстетическим воспитанием юных жителей района. Работают музыкальное (народное отделение, отделения по классу фортепиано и по классу гитары), вокальное и театральное отделения. Благодаря стабильному педагогическому коллективу грамотно организован учебный процесс, что способствует творческому и интеллектуальному развитию детей, раскрытию их творческого потенциала, профориентации способных детей.  Высокие требования к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участию в образовательном процессе родителей и детей, нагрузка, которая ложится на юных музыкантов в связи с обучением в двух школах (общеобразовательной и музыкальной) - основные причины снижения контингента учащихся. Актуальной проблемой для музыкальных школ является нехватка и старение педагогических кадров. Несмотря на дефицит педагогических кадров, образовательный процесс проходит на достойном профессиональном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уровне. В школе также обучаются ребята с ограниченными возможностями здоровья, усилиями педагогов в коллективе учащихся создана доброжелательная атмосфера. Учащиеся принимают участие в конкурсах различных уровней, ежегодно получают Премию мэра г. Бодайбо и района за успехи в учебе и творческие достижения.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Разнообразен спектр услуг учреждений по организации досуга населения: от развлекательных, игровых, детских программ, корпоративных мероприятий до массовых гуляний, посвященных различным календарным праздникам и датам.  Кроме этого, на базе учреждений созданы   клубные формирования и кружки для занятия индивидуальным и коллективным творчеством, работают оздоровительные и спортивные секции. Во всех учреждениях созданы комфортные условия для предоставления культурных услуг населению.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За последние годы глобальная реконструкция проведена в городском парке культуры и отдыха. Благодаря приложенным усилиям в городском парке проложены новые пешеходные дорожки, установлены уличные тренажеры, тематические фигуры, детские городки, столбы освещения, отремонтирован фонтан, организованы газоны и клумбы, посажены молодые деревья, оборудованы места отдыха. В настоящее время городской парк стал одним из любимых мест отдыха горожан и гостей города.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В 2019 году закуплено оборудование для организации кинопоказа, начал свою работу кинотеатр «Витим». В этом же году проведена реконструкция прилегающего к кинотеатру сквера.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Несмотря на создаваемые условия все сложнее привлекать жителей к участию в клубных формированиях и кружках, особенно подростков и молодежь. В сложившейся ситуации необходима корректировка основных направлений организации деятельности культурно-досуговых учреждений.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Огромную работу проводит коллектив библиотечной системы района с целью приобщения молодого поколения к чтению. Для привлечения читателя библиотеками района внедряются новые формы работы: литературные гостиные и литературно-музыкальные вечера, библиотечные уроки, премьеры книг и презентации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книжно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-иллюстративных выставок, игры-путешествия. Важной составляющей работы библиотек является обслуживание людей с ограниченными возможностями здоровья.     С этой целью две библиотеки района оснащены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тифлофлешплеерами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для прослушивания «говорящих» книг слабовидящими людьми, три библиотеки оснащены пандусами. Сотрудники библиотек обслуживают и маломобильную группу населения, обслуживая ее вне стационарного абонемента - на дому, организована книговыдача для отдаленных участков золотодобывающих предприятий.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Центральная городская библиотека им. Светланы Кузнецовой является методическим центром для муниципальных библиотек района. Она оказывает консультационную и практическую помощь, направленную на максимальное удовлетворение библиотеками информационных, образовательных, культурных потребностей населения, способствует развитию инновационного творчества библиотекарей и внедрению инноваций в практику.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Традиционно популярными у населения стали мероприятия, проводимые в рамках акций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Библионочь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» и «Ночь искусств», литературные чтения, краеведческие встречи. Коллективом библиотек проводится большая и неоценимая работа по патриотическому воспитанию детей и молодежи, пропаганде здорового образа жизни. Акция детской библиотеки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Библиодворик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», проводимая в летний период, по праву является новаторской.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Коллективом Бодайбинского городского краеведческого музея ведется активная работа по сохранению и пополнению музейного фонда, организации выставочной деятельности, распространению краеведческих знаний. В музее действуют шесть залов для постоянных экспозиций, выставочный зал для тематических выставок к памятным датам и праздникам.  Более 2500 экземпляров основного и вспомогательного фондов музея ежегодно представляется посетителям. Популярными стали такие формы работы как, обзорные и тематические экскурсии для взрослых и детей, беседы и слайд-фильмы, успешно внедряется программа «Музей и дети» для дошкольников и учащихся начальных классов. Основными направлениями работы Бодайбинского городского краеведческого музея являются организация исследовательской, фондовой, экспозиционной, информационной и других форм деятельности. Успешно продолжается работа занесению музейных предметов в федеральный электронный каталог.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Бодайбинский городской краеведческий музей ведет активное сотрудничество с образовательными учреждениями города, проводит для них познавательные мероприятия различной тематики. Частыми гостями музея стали учащиеся дошкольных учреждений. Сотрудниками музея организовываются персональные и групповые выставки мастеров рукоделия. На протяжении последних лет коллектив музея активно участвует в акции «Лето. Занятость. Подросток.».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последние годы в сфере культуры отмечается тенденция к </w:t>
      </w:r>
      <w:r>
        <w:rPr>
          <w:rFonts w:ascii="Times New Roman" w:eastAsia="Calibri" w:hAnsi="Times New Roman" w:cs="Times New Roman"/>
          <w:iCs/>
          <w:sz w:val="26"/>
          <w:szCs w:val="26"/>
        </w:rPr>
        <w:t xml:space="preserve">уменьшению количества потребителей культурных услуг, вместе с тем растет спрос на услуги нового формата. Молодежь отдает предпочтение высокотехнологичным услугам мультимедиа, растет количество читателей электронных книг.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rFonts w:eastAsia="Calibri"/>
          <w:sz w:val="26"/>
          <w:szCs w:val="26"/>
        </w:rPr>
        <w:t>Среди основных причин устойчивого снижения показателя посещаемости культурных мероприятий следует назвать и демографическую ситуацию в районе, ежегодный отток населения из района, невысокий уровень благосостояния основной массы жителей, разобщенность, безынициативность населения.</w:t>
      </w:r>
      <w:r>
        <w:rPr>
          <w:sz w:val="26"/>
          <w:szCs w:val="26"/>
        </w:rPr>
        <w:t xml:space="preserve">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Также негативно сказывается несоответствие имеющейся материально-технической базы учреждений культуры требованиям пользователей услуг. Темпы износа материальной базы значительно выше, чем возможность ее пополнения и восстановления.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Кроме материально-технической базы учреждений, достаточно остро стоят вопросы: ассортимента и качества предоставляемых культурно-досуговых услуг; устаревания применяемых технологий и форм работы; несоответствия квалификации кадров, их профессиональных знаний и умений вызовам сегодняшнего дня. 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Часть муниципальных библиотек не обладает достаточной материально-технической базой, позволяющей эффективно удовлетворять информационные потребности различных категорий пользователей.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Объем средств, направляемых на комплектование библиотечных фондов ЦБС г. Бодайбо и района, не соответствует темпам их обновления и улучшения качественного состава.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Бодайбинский городской краеведческий музей недостаточно оснащен современным высокотехнологичным оборудованием для внедрения интерактивных форм выставочной деятельности и проведения мероприятий.  Остро стоит нехватка выставочных площадей и площадей для хранения фондов.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Управление культуры совместно с Администрацией г. Бодайбо и района предпринимает все необходимые меры для привлечения посетителей в учреждения культуры- укрепление материально-технической базы учреждений, проведение текущих и капитальных ремонтов, повышение квалификации специалистов. Однако в последние годы, из-за сложившейся экономической ситуации, отсутствует возможность в проведении текущих ремонтов учреждений и улучшении их материальной базы. Более трех лет специалисты сферы культуры не проходили курсы повышения квалификации на базе образовательных учреждений областного центра.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Реализация Программы позволит в целом повысить качество услуг сферы культуры, комфортность их предоставления, доступность для всех категорий населения, удовлетворить потребность в духовно-нравственном развитии населения Бодайбинского района, способствовать профилактике асоциальных явлений в обществе. Для этого в Программе предусмотрено активное вовлечение населения района в систему эстетического образования, в культурно-досуговую и просветительскую деятельность, в развитие его творческого потенциала, организацию досуга.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основе Программы – положения, ориентированные на преемственность развития культурных традиций наряду с поддержкой многообразия культурной жизни, привлечение внимания населения к проблемам культуры с целью участия в культурной жизни района. Накопленный опыт и культурный потенциал района обуславливают необходимость системной модернизации отрасли и целевой поддержки ее развития с целью расширения спектра услуг, оказываемых учреждениями культуры, и повышения их качества.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Продолжается активная работа по сохранению и развитию целостной системы оказания культурных услуг населению, в частности: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сохранение на территории района сети музыкальных школ;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поддержка творческих коллективов и талантливых детей и молодежи;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развитие и совершенствование системы библиотечного обслуживания населения, комплектование и обеспечение сохранности библиотечных фондов;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создание условий для организации массового отдыха жителей района;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создание условий для эффективной работы городского музея.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Однако, несмотря на положительные моменты, сохраняется и ряд проблем, главными из которых являются: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недостаточное оснащение учреждений культуры современным информационным и технологическим оборудованием;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отсутствие крупных современных комплексов для проведения масштабных культурно-массовых и молодежных мероприятий, фестивалей и иных мероприятий;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дефицит в квалифицированных кадрах, обусловленный отсутствием притока молодежи.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Программа призвана создать условия для сохранения культурного и духовного наследия, обеспечения максимальной доступности для широких слоев населения услуг в сфере культуры, а также для эффективного управления финансами в части обеспечения функционирования и развития данной сферы.</w:t>
      </w:r>
    </w:p>
    <w:p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Мероприятия, предусмотренные в Программе, позволят улучшить материально-технические базы учреждений культуры, обеспечить их бесперебойную работу, создать комфортные условия для пользователей услуг культуры. Несмотря на сложную демографиче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>скую ситуацию в районе, мероприятия Программы разработаны таким образом, что позволят сохранить сеть учреждений на территории района, достигнуть запланированные целевые показатели, повысить квалификацию основного персонала, внедрить в деятельность учреждений новые методы работы.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2020 году в полном объеме начал свою работу кинотеатр «Витим». Наличие в городе кинотеатра стало одним из положительных факторов, оказывающих влияние на создание комфортной среды проживания населения.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Учреждения культуры Бодайбинского района принимают активное участие в реализации мероприятий федеральных и региональных проектов.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 2021 года учреждения культуры участвуют в реализации федерального проекта «Творческие люди» национального проекта «Культура». На 01.12.2024 года более 30 работников из числа основного персонала прошли обучение на курсах повышения квалификации в ведущих ВУЗах страны в сфере культуры. Обучение специалистов проходит за счет средств федерального бюджета.</w:t>
      </w:r>
    </w:p>
    <w:p>
      <w:pPr>
        <w:pStyle w:val="a9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2022 году Культурно-досуговый центр г. Бодайбо стал участником реализации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мероприятия «Местный дом культуры» </w:t>
      </w:r>
      <w:r>
        <w:rPr>
          <w:rFonts w:ascii="Times New Roman" w:hAnsi="Times New Roman"/>
          <w:sz w:val="26"/>
          <w:szCs w:val="26"/>
        </w:rPr>
        <w:t xml:space="preserve">федерального проекта «Культура малой Родины» партии «Единая Россия». В рамках проекта для учреждений клубного типа был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приобретен </w:t>
      </w:r>
      <w:r>
        <w:rPr>
          <w:rFonts w:ascii="Times New Roman" w:hAnsi="Times New Roman"/>
          <w:sz w:val="26"/>
          <w:szCs w:val="26"/>
        </w:rPr>
        <w:t xml:space="preserve">автобус </w:t>
      </w:r>
      <w:proofErr w:type="spellStart"/>
      <w:r>
        <w:rPr>
          <w:rFonts w:ascii="Times New Roman" w:hAnsi="Times New Roman"/>
          <w:sz w:val="26"/>
          <w:szCs w:val="26"/>
        </w:rPr>
        <w:t>Mercedes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Benz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Sprinter</w:t>
      </w:r>
      <w:r>
        <w:rPr>
          <w:rFonts w:ascii="Times New Roman" w:hAnsi="Times New Roman"/>
          <w:sz w:val="26"/>
          <w:szCs w:val="26"/>
        </w:rPr>
        <w:t xml:space="preserve"> на 16 мест стоимостью 7785,0 тыс. руб., из которых 1907,4тыс. руб.- средства федерального бюджета, 3342,6 тыс. руб.- средства областного бюджета, 2535,0 тыс. руб. – средства бюджета муниципального образования г. Бодайбо и района.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Автобус используется для организации гастрольных поездок творческих коллективов досуговых центров и клубов, что позволяет артистам выступать не только в своём населённом пункте, но и выезжать на гастроли в другие населенные пункты района. В летний период коллектив Бодайбинского городского краеведческого музея проводит автобусные экскурсии по историческим и памятным местам города.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2023 году Центральная городская библиотека им. Светланы Кузнецовой приняла участие в реализации мероприятия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проекта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и форматирование информационного пространства в сфере культуры» федерального проекта «Цифровая культура» национального проекта «Культура». На средства федерального бюджета в размере 1000,0 тыс. руб. создан виртуальный концертный зал. Создание виртуального концертного зала позволит вывести на новый уровень продвижение академического музыкального и будет способствовать созданию равных возможностей доступа к классическому искусству на всей территории России, в том числе и для жителей Бодайбинского района.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целью популяризации культурных мероприятий среди подростков и молодежи, министерством культуры Российской Федерации запущен федеральный проект Пушкинская карта. Данный проект позволяет приобрести молодым людям от 14 до 22 лет билеты в театры, досуговые центры, музеи, кинотеатры и другие учреждения на средства из федерального бюджета. 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 культуры, подведомственные Управлению культуры администрации муниципального образования г. Бодайбо и района, также присоединились к федеральному проекту Пушкинская карта. На 01.12.2024 года 5 учреждений культуры подключились к вышеуказанному проекту.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Р</w:t>
      </w:r>
      <w:r>
        <w:rPr>
          <w:rFonts w:ascii="Times New Roman" w:eastAsia="Calibri" w:hAnsi="Times New Roman" w:cs="Times New Roman"/>
          <w:b/>
          <w:sz w:val="26"/>
          <w:szCs w:val="26"/>
        </w:rPr>
        <w:t>аздел 2.  Цели и задачи Программы, целевые показатели Программы,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сроки реализации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Цель Программы: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Создание условий для комплексного развития культурного потенциала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населения Бодайбинского района, повышения качества услуг, предоставляемых учреждениями культуры.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Для достижения поставленной цели необходимо решить ряд следующих задач: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</w:t>
      </w:r>
      <w:r>
        <w:rPr>
          <w:rFonts w:ascii="Times New Roman" w:eastAsia="Calibri" w:hAnsi="Times New Roman" w:cs="Times New Roman"/>
          <w:sz w:val="26"/>
          <w:szCs w:val="26"/>
        </w:rPr>
        <w:t>Сохранение дополнительного образования в сфере культуры, направленного на творческую самореализацию детей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Создание условий для организации досуга и обеспечения жителей Бодайбинского района услугами учреждений культуры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3. </w:t>
      </w:r>
      <w:r>
        <w:rPr>
          <w:rFonts w:ascii="Times New Roman" w:eastAsia="Calibri" w:hAnsi="Times New Roman" w:cs="Times New Roman"/>
          <w:sz w:val="26"/>
          <w:szCs w:val="26"/>
        </w:rPr>
        <w:t>Организация библиотечного обслуживания населения, обеспечение сохранности и комплектования фондов муниципальных библиотек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4. Сохранение и развитие экспозиционно-выставочной деятельности муниципального музея;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5. Совершенствование организационного, методического, экономического механизмов функционирования сферы культуры района;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6. Организация переподготовки и повышения квалификации работников учреждений культуры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Целевые показатели Программы: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 Сохранение дополнительного образования в сфере культуры, направленного на творческую самореализацию детей: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доля охвата детей Бодайбинского района эстетическим образованием относительно числу обучающихся в общеобразовательных школах с 1-го по 7 классы;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сохранение численности учащихся музыкальных школ;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доля обучающихся, принимающих участие в конкурсах, смотрах и других творческих мероприятиях от общего числа обучающихся в музыкальных школах.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 Создание условий для организации досуга и обеспечения жителей Бодайбинского района услугами учреждений культуры: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количество действующих в течение года кружков и клубных формирований в культурно-досуговых учреждениях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участников кружков и клубных формирований;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культурно-массовых мероприятий на платной основе;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посетителей культурно-массовых мероприятий на платной основе;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количество зрителей кинопоказов на платной основе.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3. Организация библиотечного обслуживания населения, обеспечение сохранности и комплектования фондов муниципальных библиотек: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выданных экземпляров библиотечного фонда читателям;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-количество выполненных справок (консультаций) пользователям;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зарегистрированных пользователей муниципальных библиотек;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количество трансляций, проведенных в виртуальном концертном зале.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 Сохранение и развитие экспозиционно-выставочной деятельности муниципального музея: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представленных (во всех формах) зрителю музейных предметов основного и вспомогательного фондов;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- количество посетителей музея;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выездных выставок.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5. Совершенствование организационного, методического, экономического механизмов функционирования сферы культуры района: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обоснованных замечаний со стороны контролирующих, надзорных органов и вышестоящих организаций;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жалоб, поданных на качество оказываемых услуг в сфере культуры.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6. Организация переподготовки и повышения квалификации работников учреждений культуры: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работников, прошедших переподготовку и повышение квалификации.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реализуется с 2025 по 2030 годы в один этап.  Выполнение Программы осуществляется в соответствии с определенными в ней целью и задачами, которые реализуются через систему программных мероприятий.</w:t>
      </w:r>
    </w:p>
    <w:p>
      <w:pPr>
        <w:spacing w:after="0" w:line="276" w:lineRule="auto"/>
        <w:ind w:firstLine="708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Взаимосвязь целей, задач и целевых показателей Программы представлена в приложении № 1 к Программе.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Сведения о составе и значениях целевых показателей Программы отражены в приложении № 2.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3. Обоснование выделения подпрограмм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Программа в своей структуре подпрограмм не имеет. Основные мероприятия Программы представлены в Приложении 3 к Программе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4. Анализ рисков реализации Программы и описание мер управления рисками реализации Программы.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 реализации Программы можно отнести к внешним и внутренним.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Внешние риски: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 изменение федерального законодательства в части перераспределения полномочий между Российской Федерацией, субъектами Российской Федерации и органами местного самоуправления, а также изменение региональной нормативной базы;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сокращение бюджетного финансирования, выделенного на исполнение мероприятий Программы, что повлечет, исходя из новых бюджетных параметров, пересмотр стратегических задач Программы с точки зрения либо их сокращения, либо снижения ожидаемых эффектов от их решения;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отсутствие поставщиков товаров, исполнителей работ (услуг), определяемых на конкурсной основе в порядке, установленном федеральным и региональным законодательством и муниципальными нормативными правовыми актами;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удорожание стоимости товаров/работ (услуг);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ухудшение демографической ситуации.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Внутренние риски: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недостатки в управлении Программой по причине отсутствия должной координации действий участников Программы в ходе ее реализации.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Последствиями недостаточной координации могут стать: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отсутствие единого понимания участников Программы ее целей и задач, а также своей роли в выполнении Программы;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необъективное распределение ресурсов Программы и нерациональное, нецелевое их использование.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целью минимизации внешних и внутренних рисков Программы запланированы следующие мероприятия: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обеспечение постоянного мониторинга реализации Программы с применением целевых индикаторов;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постоянный контроль за ходом выполнения программных мероприятий и совершенствование управления реализацией Программы;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ежегодная корректировка по результатам исполнения Программы мероприятий и объемов финансирования;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информационное, организационно-методическое и экспертно-аналитическое сопровождение проводимых мероприятий Программы.</w:t>
      </w:r>
    </w:p>
    <w:p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Реализацию Программы в целом и достижение утвержденных значений целевых индикаторов, формирование отчетности о ходе реализации Программы, проведение оценки эффективности реализации Программы обеспечивает ответственный исполнитель Программы.</w:t>
      </w:r>
    </w:p>
    <w:p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5. Ресурсное обеспечение Программы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ab/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Объем финансирования Программы ежегодно уточняется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на реализацию Программы.  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Программный метод позволит сконцентрировать финансовые ресурсы на приоритетных для развития учреждений культуры направлениях.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Ресурсное обеспечение реализации Программы за счет средств, предусмотренных в бюджете муниципального образования г. Бодайбо и района, представлено в табличном виде в приложении № 4 к Программе.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Прогнозная (справочная) оценка ресурсного обеспечения реализации Программы представлена в приложении № 5 к Программе.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Прогнозные показатели финансового обеспечения мероприятий Программы на 2025, 2026, 2027, 2028, 2029 и 2030 годы рассчитаны с применением коэффициента, учитывающего ежегодные индексации в следующих размерах: 2025 год-2,1%; 2026 год-3,0 %; 2027- 4,0%; 2028-4,0%; 2029- 4,0%; 2030 годы-4,0%.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6. Ожидаемые конечные результаты реализации Программы</w:t>
      </w:r>
    </w:p>
    <w:p>
      <w:pPr>
        <w:shd w:val="clear" w:color="auto" w:fill="FFFFFF"/>
        <w:spacing w:after="0" w:line="276" w:lineRule="auto"/>
        <w:ind w:right="15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Программа определяет приоритеты развития культуры Бодайбинского района на ближайшие шесть лет и включает организационно-методические, управленческие, информационные мероприятия, направленные на развитие библиотечного и музейного дела, самодеятельного художественного творчества, организацию досуга и отдыха, сохранение дополнительных образовательных программ в сфере культуры, создание условий для предоставления качественных услуг, оказываемых учреждениями культуры населению. </w:t>
      </w:r>
    </w:p>
    <w:p>
      <w:pPr>
        <w:spacing w:after="0" w:line="276" w:lineRule="auto"/>
        <w:ind w:firstLine="708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Применение программного метода управления сферой культуры позволит достичь положительных количественных и качественных изменений в предоставлении культурных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услуг населению, расширить спектр услуг, оказываемых учреждениями культуры, повысить качество экспозиционной работы в музеях и их посещаемость, увеличить возможности для эстетического развития детей и подростков и их самоопределения и обучения, увеличить охват населения библиотечными услугами, повысить читательский интерес у населения.  </w:t>
      </w:r>
    </w:p>
    <w:p>
      <w:pPr>
        <w:spacing w:after="0" w:line="276" w:lineRule="auto"/>
        <w:ind w:firstLine="708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Мероприятия Программы направлены на повышение престижа получения эстетического образования, вовлечение в культурную жизнь района разных социальных групп населения, обеспечение разнообразия предоставляемых услуг и повышение качества работы учреждений культуры.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результате реализации мероприятий Программы ожидается повышение качества и разнообразия услуг в области культуры, повышение эффективности деятельности и формирование позитивного имиджа сферы культуры Бодайбинского района в целом.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показателей с плановыми.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основных мероприятий Программы представлен в приложении № 3.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>Методика расчета целевых показателей «Развитие культуры Бодайбинского района» на 2025-2030 годы представлена в Приложении 6 к Программе.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 xml:space="preserve"> 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lastRenderedPageBreak/>
        <w:t xml:space="preserve">                                                                                                        Приложение 1 к Программе</w:t>
      </w:r>
    </w:p>
    <w:p>
      <w:pPr>
        <w:spacing w:after="0" w:line="276" w:lineRule="auto"/>
        <w:jc w:val="right"/>
        <w:outlineLvl w:val="0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Взаимосвязь целей, задач и целевых показателей Программы</w:t>
      </w:r>
    </w:p>
    <w:p>
      <w:pPr>
        <w:spacing w:after="0" w:line="276" w:lineRule="auto"/>
        <w:outlineLvl w:val="0"/>
        <w:rPr>
          <w:rFonts w:ascii="Times New Roman" w:eastAsia="Calibri" w:hAnsi="Times New Roman" w:cs="Times New Roman"/>
          <w:b/>
          <w:sz w:val="26"/>
          <w:szCs w:val="24"/>
        </w:rPr>
      </w:pPr>
    </w:p>
    <w:tbl>
      <w:tblPr>
        <w:tblpPr w:leftFromText="180" w:rightFromText="180" w:bottomFromText="160" w:vertAnchor="text" w:tblpX="-299" w:tblpY="5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977"/>
        <w:gridCol w:w="2977"/>
        <w:gridCol w:w="3827"/>
      </w:tblGrid>
      <w:tr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Формулировка цели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Формулировка задач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целевых </w:t>
            </w:r>
          </w:p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показателей</w:t>
            </w:r>
          </w:p>
        </w:tc>
      </w:tr>
      <w:tr>
        <w:trPr>
          <w:trHeight w:val="319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Создание условий для комплексного развития культурного потенциала населения Бодайбинского района, повышения качества услуг, предоставляемых учреждениями культуры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охвата детей Бодайбинского района эстетическим образованием относительно числу обучающихся в общеобразовательных школах с 1-го по 7 классы.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Сохранение численности учащихся музыкальных школ.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Доля обучающихся, принимающих участие в конкурсах, смотрах и других творческих мероприятиях от общего числа обучающихся в музыкальных школах. </w:t>
            </w:r>
          </w:p>
        </w:tc>
      </w:tr>
      <w:tr>
        <w:trPr>
          <w:trHeight w:val="34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Задача 2. Создание условий для организации досуга и обеспечения жителей Бодайбинского района услугами учреждений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Количество участников кружков и клубных формирований.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культурно-массовых мероприятий на платной основе.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Количество посетителей культурно-массовых мероприятий на платной основе.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Количество зрителей кинопоказов на платной основе.</w:t>
            </w:r>
          </w:p>
        </w:tc>
      </w:tr>
      <w:tr>
        <w:trPr>
          <w:trHeight w:val="1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Задача 3.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Количество выданных экземпляров библиотечного фонда читателям.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Количество выполненных справок (консультаций) пользователям.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зарегистрированных пользователей муниципальных библиотек.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К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оличество трансляций, проведенных в виртуальном концертном зале.</w:t>
            </w:r>
          </w:p>
        </w:tc>
      </w:tr>
      <w:tr>
        <w:trPr>
          <w:trHeight w:val="142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Сохранение и развитие экспозиционно-выставочной деятельности муниципального музея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Количество представленных (во всех формах) зрителю музейных предметов основного и вспомогательного фондов.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Количество посетителей музея.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выездных выставок.</w:t>
            </w:r>
          </w:p>
        </w:tc>
      </w:tr>
      <w:tr>
        <w:trPr>
          <w:trHeight w:val="8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5.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Совершенствование организационного, методического, экономического механизмов функционирования сферы культуры района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Количество обоснованных замечаний со стороны контролирующих, надзорных органов и вышестоящих организаций.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Количество жалоб, поданных на качество оказываемых услуг в сфере культуры.</w:t>
            </w:r>
          </w:p>
        </w:tc>
      </w:tr>
      <w:tr>
        <w:trPr>
          <w:trHeight w:val="1409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 6.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переподготовки и повышения квалификации работников учреждений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1.Количество работников, прошедших переподготовку и повышение квалификации.</w:t>
            </w:r>
          </w:p>
        </w:tc>
      </w:tr>
    </w:tbl>
    <w:p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  <w:sectPr>
          <w:pgSz w:w="11906" w:h="16838"/>
          <w:pgMar w:top="567" w:right="566" w:bottom="567" w:left="1276" w:header="709" w:footer="709" w:gutter="0"/>
          <w:cols w:space="720"/>
        </w:sectPr>
      </w:pP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2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 Программе</w:t>
      </w: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hd w:val="clear" w:color="auto" w:fill="FFFFFF" w:themeFill="background1"/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Сведения о составе и значениях целевых показателей Программы</w:t>
      </w:r>
    </w:p>
    <w:tbl>
      <w:tblPr>
        <w:tblStyle w:val="ab"/>
        <w:tblW w:w="157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134"/>
        <w:gridCol w:w="1276"/>
        <w:gridCol w:w="1134"/>
        <w:gridCol w:w="1276"/>
        <w:gridCol w:w="1134"/>
        <w:gridCol w:w="1275"/>
        <w:gridCol w:w="1134"/>
        <w:gridCol w:w="1134"/>
        <w:gridCol w:w="1134"/>
      </w:tblGrid>
      <w:tr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целевого </w:t>
            </w:r>
          </w:p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Значения целевых показателей</w:t>
            </w:r>
          </w:p>
        </w:tc>
      </w:tr>
      <w:tr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год (оценка)2024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</w:tr>
      <w:tr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Программа «Развитие культуры Бодайбинского района» на 2025-2030 годы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1.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Сохранение дополнительного образования в сфере культуры, направленного на творческую самореализацию детей</w:t>
            </w:r>
          </w:p>
        </w:tc>
      </w:tr>
      <w:tr>
        <w:trPr>
          <w:trHeight w:val="10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охвата детей Бодайбинского района эстетическим образованием относительно числу обучающихся в общеобразовательных школах с 1-го по 7 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численности учащихся музыкальных школ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>
        <w:trPr>
          <w:trHeight w:val="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Создание условий для организации досуга и обеспечения жителей Бодайбинского района услугами учреждений культуры</w:t>
            </w:r>
          </w:p>
        </w:tc>
      </w:tr>
      <w:tr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количество действующих в течение года кружков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 клубных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формирований в культурно-досуговых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</w:tr>
      <w:tr>
        <w:trPr>
          <w:trHeight w:val="4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культурно-массовых мероприятий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665</w:t>
            </w:r>
          </w:p>
        </w:tc>
      </w:tr>
      <w:tr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16000</w:t>
            </w:r>
          </w:p>
        </w:tc>
      </w:tr>
      <w:tr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зрителей кинопоказов на платной основе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12000</w:t>
            </w:r>
          </w:p>
        </w:tc>
      </w:tr>
      <w:tr>
        <w:trPr>
          <w:trHeight w:val="537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Задача 3.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</w:tr>
      <w:tr>
        <w:trPr>
          <w:trHeight w:val="4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330600</w:t>
            </w:r>
          </w:p>
        </w:tc>
      </w:tr>
      <w:tr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выполненных справок </w:t>
            </w:r>
          </w:p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(консультаций) пользователям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</w:tr>
      <w:tr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зарегистрированных пользователей муниципальных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</w:tr>
      <w:tr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трансляций, проведенных в виртуальном концертном зале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Задача 4. Сохранение и развитие экспозиционно-выставочной деятельности муниципального музея</w:t>
            </w:r>
          </w:p>
        </w:tc>
      </w:tr>
      <w:tr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представленных (во всех формах) зрителю музейных предметов основного и вспомогательного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2920</w:t>
            </w:r>
          </w:p>
        </w:tc>
      </w:tr>
      <w:tr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3530</w:t>
            </w:r>
          </w:p>
        </w:tc>
      </w:tr>
      <w:tr>
        <w:trPr>
          <w:trHeight w:val="3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368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5. Совершенствование организационного, методического, экономического механизмов функционирования сферы </w:t>
            </w:r>
          </w:p>
          <w:p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культуры района</w:t>
            </w:r>
          </w:p>
        </w:tc>
      </w:tr>
      <w:tr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18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6. Организация переподготовки и повышения квалификации работников учреждений культуры</w:t>
            </w:r>
          </w:p>
        </w:tc>
      </w:tr>
      <w:tr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>
      <w:pPr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709" w:right="567" w:bottom="425" w:left="567" w:header="709" w:footer="709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3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 Программе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Перечень основных мероприятий Программы</w:t>
      </w:r>
    </w:p>
    <w:p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b"/>
        <w:tblW w:w="10665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561"/>
        <w:gridCol w:w="1832"/>
        <w:gridCol w:w="1349"/>
        <w:gridCol w:w="1338"/>
        <w:gridCol w:w="1358"/>
        <w:gridCol w:w="2207"/>
        <w:gridCol w:w="2020"/>
      </w:tblGrid>
      <w:tr>
        <w:trPr>
          <w:trHeight w:val="34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Наименова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исполни-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  <w:proofErr w:type="gramEnd"/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Ожидаемый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конечный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Программы,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Целевые показатели Программы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(подпрограммы), на достижение которых оказывается влияние</w:t>
            </w:r>
          </w:p>
        </w:tc>
      </w:tr>
      <w:tr>
        <w:trPr>
          <w:trHeight w:val="153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начала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реализа-ции</w:t>
            </w:r>
            <w:proofErr w:type="spellEnd"/>
            <w:proofErr w:type="gramEnd"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оконча-ния</w:t>
            </w:r>
            <w:proofErr w:type="spellEnd"/>
            <w:proofErr w:type="gramEnd"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реализа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Программа "Развитие культуры Бодайбинского района" на 2025-2030 годы</w:t>
            </w:r>
          </w:p>
        </w:tc>
      </w:tr>
      <w:tr>
        <w:trPr>
          <w:trHeight w:val="42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3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134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доли охвата детей Бодайбинского района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эстетическим образованием относительно числу обучающихся в общеобразовательных школах с 1 по 7 классы в объеме 0 % ежегодно</w:t>
            </w:r>
          </w:p>
        </w:tc>
        <w:tc>
          <w:tcPr>
            <w:tcW w:w="202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охвата детей Бодайбинского района эстетическим образованием относительно числу обучающихся в общеобразовательных школах с 1 по 7 классы   </w:t>
            </w:r>
          </w:p>
        </w:tc>
      </w:tr>
      <w:tr>
        <w:trPr>
          <w:trHeight w:val="61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численности учащихся музыкальных школ от общего количества обучающихся в музыкальных школах в объеме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90 % ежегодно                                 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Сохранение численности учащихся музыкальных школ                                            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60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обучающихся, принимающих участие в конкурсах, смотрах и других творческих мероприятиях от общего числа обучающихся в музыкальных школах до 100%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      </w:t>
            </w:r>
          </w:p>
        </w:tc>
      </w:tr>
      <w:tr>
        <w:trPr>
          <w:trHeight w:val="978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Создание условий для организации культурно-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досуговой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деятельности населения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количества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64 единицы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и клубных формирований</w:t>
            </w:r>
          </w:p>
        </w:tc>
      </w:tr>
      <w:tr>
        <w:trPr>
          <w:trHeight w:val="18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участников кружков и клубных формирований в количестве 825 человек ежегодно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</w:tr>
      <w:tr>
        <w:trPr>
          <w:trHeight w:val="28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культурно-массовых мероприятий на платной основе до 665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культурно-массовых мероприятий на платной основе </w:t>
            </w:r>
          </w:p>
        </w:tc>
      </w:tr>
      <w:tr>
        <w:trPr>
          <w:trHeight w:val="15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посещений культурно-массовых мероприятий на платной основе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16000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</w:tr>
      <w:tr>
        <w:trPr>
          <w:trHeight w:val="27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зрителей кинопоказов на платной основе до 12000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зрителей кинопоказов на платной основе</w:t>
            </w:r>
          </w:p>
        </w:tc>
      </w:tr>
      <w:tr>
        <w:trPr>
          <w:trHeight w:val="40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выданных экземпляров библиотечного фонда читателям до 330600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1605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выполненных справок (консультаций) пользователям до 9200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выполненных справок (консультаций) пользователям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1230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количества зарегистрированных пользователей муниципальных библиотек в количестве 12170 человек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количества зарегистрированных пользователей </w:t>
            </w:r>
          </w:p>
        </w:tc>
      </w:tr>
      <w:tr>
        <w:trPr>
          <w:trHeight w:val="1230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количества трансляций, проведенных в виртуальном концертном зале, в количестве 20 единиц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трансляций, проведенных в виртуальном концертном зале</w:t>
            </w:r>
          </w:p>
        </w:tc>
      </w:tr>
      <w:tr>
        <w:trPr>
          <w:trHeight w:val="37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сохранности и доступности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населению музейных фондов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представленных (во всех формах) зрителю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музейных предметов основного и вспомогательного фондов до 2920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представленных (во всех формах)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зрителю музейных предметов основного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вспомогательно-го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фондов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73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посетителей музея до 3530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52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количества выездных выставок в количестве 12 единиц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</w:tr>
      <w:tr>
        <w:trPr>
          <w:trHeight w:val="2442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Уменьшение количества обоснованных замечаний со стороны контролирующих, надзорных органов и вышестоящих организаций до 1 единицы ежегодно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91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количества поданных жалоб на качество оказываемых услуг в сфере культуры до 1 единицы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</w:tr>
      <w:t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Переподготов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повыше-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квалифи-кации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работников, прошедших переподготовку и повышение квалификации до 10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квалификации.</w:t>
            </w:r>
          </w:p>
        </w:tc>
      </w:tr>
    </w:tbl>
    <w:p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tabs>
          <w:tab w:val="left" w:pos="4245"/>
        </w:tabs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ab/>
      </w:r>
    </w:p>
    <w:p>
      <w:pPr>
        <w:tabs>
          <w:tab w:val="left" w:pos="4245"/>
        </w:tabs>
        <w:rPr>
          <w:rFonts w:ascii="Times New Roman" w:eastAsia="Calibri" w:hAnsi="Times New Roman" w:cs="Times New Roman"/>
          <w:sz w:val="26"/>
          <w:szCs w:val="24"/>
        </w:rPr>
        <w:sectPr>
          <w:pgSz w:w="11906" w:h="16838"/>
          <w:pgMar w:top="567" w:right="425" w:bottom="567" w:left="709" w:header="709" w:footer="709" w:gutter="0"/>
          <w:cols w:space="720"/>
        </w:sectPr>
      </w:pP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>Приложение 4 к Программе</w:t>
      </w: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Ресурсное обеспечение реализации Программы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 счет средств, предусмотренных в бюджете муниципального образования г. Бодайбо и района</w:t>
      </w: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4"/>
        </w:rPr>
      </w:pPr>
    </w:p>
    <w:tbl>
      <w:tblPr>
        <w:tblStyle w:val="ab"/>
        <w:tblW w:w="14884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2552"/>
        <w:gridCol w:w="1276"/>
        <w:gridCol w:w="1275"/>
        <w:gridCol w:w="1276"/>
        <w:gridCol w:w="1276"/>
        <w:gridCol w:w="1276"/>
        <w:gridCol w:w="1275"/>
        <w:gridCol w:w="1418"/>
      </w:tblGrid>
      <w:tr>
        <w:trPr>
          <w:trHeight w:val="965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noWrap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п\п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bottom w:val="single" w:sz="4" w:space="0" w:color="auto"/>
            </w:tcBorders>
            <w:hideMark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 мероприятия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  <w:hideMark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 мероприятий</w:t>
            </w:r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</w:tr>
      <w:tr>
        <w:trPr>
          <w:trHeight w:val="630"/>
        </w:trPr>
        <w:tc>
          <w:tcPr>
            <w:tcW w:w="709" w:type="dxa"/>
            <w:vMerge/>
            <w:noWrap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2025 год</w:t>
            </w:r>
          </w:p>
        </w:tc>
        <w:tc>
          <w:tcPr>
            <w:tcW w:w="1275" w:type="dxa"/>
            <w:shd w:val="clear" w:color="auto" w:fill="auto"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275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315"/>
        </w:trPr>
        <w:tc>
          <w:tcPr>
            <w:tcW w:w="709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"Развитие культуры Бодайбинского района" на 2025-2030 годы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>
            <w:pPr>
              <w:spacing w:after="16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346 564,8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435 208,3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411 492,0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423 278,0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417 484,6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434 098,8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2 468 126,5</w:t>
            </w:r>
          </w:p>
        </w:tc>
      </w:tr>
      <w:tr>
        <w:trPr>
          <w:trHeight w:val="315"/>
        </w:trPr>
        <w:tc>
          <w:tcPr>
            <w:tcW w:w="709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noWrap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исполнитель-Управление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346 564,8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435 208,3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411 492,0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423 278,0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417 484,6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434 098,8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2 468 126,5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ДО "ДМШ                               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47 158,1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51 223,6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49 985,4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51 924,5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51 871,3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53 941,7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306 104,6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"КДЦ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112 301,1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156 874,1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133 598,2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131 442,7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136 674,3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807 242,9</w:t>
            </w:r>
          </w:p>
        </w:tc>
      </w:tr>
      <w:tr>
        <w:trPr>
          <w:trHeight w:val="416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"ЦБС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54 921,5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71 603,9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73 093,1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75 234,9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70 387,5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73 156,3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418 397,2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>Бодайбинский городской краеведческий музей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17 221,9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21 544,7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21 691,3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20 187,8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20 989,8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122 917,5</w:t>
            </w:r>
          </w:p>
        </w:tc>
      </w:tr>
      <w:tr>
        <w:trPr>
          <w:trHeight w:val="315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5 655,2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6 239,6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6 526,2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6 771,4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7 041,7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7 322,8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39 556,9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МКУК "Централизованная бухгалтерия"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109 307,0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127 985,1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126 744,4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131 303,4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136 553,6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142 013,9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773 907,4</w:t>
            </w: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552" w:type="dxa"/>
            <w:vMerge w:val="restart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47 158,1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51 223,6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49 979,8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51 918,9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51 865,7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53 936,1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306 082,2</w:t>
            </w:r>
          </w:p>
        </w:tc>
      </w:tr>
      <w:tr>
        <w:trPr>
          <w:trHeight w:val="630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552" w:type="dxa"/>
            <w:vMerge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47 092,3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51 116,3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49 872,5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51 811,6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51 758,4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53 828,8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305 479,9</w:t>
            </w:r>
          </w:p>
        </w:tc>
      </w:tr>
      <w:tr>
        <w:trPr>
          <w:trHeight w:val="794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552" w:type="dxa"/>
            <w:vMerge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418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429,5</w:t>
            </w:r>
          </w:p>
        </w:tc>
      </w:tr>
      <w:tr>
        <w:trPr>
          <w:trHeight w:val="480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Выплата премии мэра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одаренным детям</w:t>
            </w:r>
          </w:p>
        </w:tc>
        <w:tc>
          <w:tcPr>
            <w:tcW w:w="2552" w:type="dxa"/>
            <w:vMerge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418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172,8</w:t>
            </w:r>
          </w:p>
        </w:tc>
      </w:tr>
      <w:tr>
        <w:trPr>
          <w:trHeight w:val="561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организации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культурно-досуговой деятельности населения</w:t>
            </w:r>
          </w:p>
        </w:tc>
        <w:tc>
          <w:tcPr>
            <w:tcW w:w="2552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112 311,0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156 939,7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133 635,8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136 390,1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131 482,9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136 717,2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807 476,7</w:t>
            </w:r>
          </w:p>
        </w:tc>
      </w:tr>
      <w:tr>
        <w:trPr>
          <w:trHeight w:val="315"/>
        </w:trPr>
        <w:tc>
          <w:tcPr>
            <w:tcW w:w="709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551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552" w:type="dxa"/>
            <w:noWrap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102 020,5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138 999,0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122 066,5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124 740,8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119 392,6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124168,3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730 414,8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Участники: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102 010,6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138 933,4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122 000,9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124 675,2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119 324,4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124 097,4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730 069,0</w:t>
            </w:r>
          </w:p>
        </w:tc>
      </w:tr>
      <w:tr>
        <w:trPr>
          <w:trHeight w:val="315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-Управление культуры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345,8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552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Участник: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1 566,9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4 334,5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Выплата премии мэра г. Бодайбо и района одаренным детям</w:t>
            </w: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316,2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городского парка культуры</w:t>
            </w: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5 565,3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6 340,4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6 845,6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6 846,4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7 120,3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7 405,1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39 098,6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кинотеатра "Витим"</w:t>
            </w: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3 043,9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3 732,6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4 099,3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4 178,5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4 345,6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4 519,4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23 919,3</w:t>
            </w:r>
          </w:p>
        </w:tc>
      </w:tr>
      <w:tr>
        <w:trPr>
          <w:trHeight w:val="890"/>
        </w:trPr>
        <w:tc>
          <w:tcPr>
            <w:tcW w:w="709" w:type="dxa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Финансовая поддержка реализации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инициативных проектов </w:t>
            </w:r>
          </w:p>
        </w:tc>
        <w:tc>
          <w:tcPr>
            <w:tcW w:w="2552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shd w:val="clear" w:color="auto" w:fill="auto"/>
          </w:tcPr>
          <w:p>
            <w:r>
              <w:t>1 152,6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6 243,3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7 395,9</w:t>
            </w: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54 921,5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71 603,9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73 081,9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75 223,7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70 376,3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418 352,4</w:t>
            </w:r>
          </w:p>
        </w:tc>
      </w:tr>
      <w:tr>
        <w:trPr>
          <w:trHeight w:val="630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552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МКУК "ЦБС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54 318,7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70 567,4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71 817,9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73 720,5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69 219,2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71 988,0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411 631,7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673,4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3431,8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Комплектование библиотечного фонда</w:t>
            </w: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1 946,9</w:t>
            </w:r>
          </w:p>
        </w:tc>
      </w:tr>
      <w:tr>
        <w:trPr>
          <w:trHeight w:val="9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библиотек в части комплектования книжных фондов библиотек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города Бодайбо и района</w:t>
            </w: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252,8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333,1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346,1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1272,0</w:t>
            </w:r>
          </w:p>
        </w:tc>
      </w:tr>
      <w:tr>
        <w:trPr>
          <w:trHeight w:val="915"/>
        </w:trPr>
        <w:tc>
          <w:tcPr>
            <w:tcW w:w="709" w:type="dxa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2551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поддержка реализации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инициативных проектов</w:t>
            </w:r>
          </w:p>
        </w:tc>
        <w:tc>
          <w:tcPr>
            <w:tcW w:w="2552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17 221,9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21 282,0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21 533,5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21 680,1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20 176,6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20 978,6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122 872,7</w:t>
            </w:r>
          </w:p>
        </w:tc>
      </w:tr>
      <w:tr>
        <w:trPr>
          <w:trHeight w:val="630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4.1.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552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- Бодайбинский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17 123,9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21 182,0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21 420,5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21 554,1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20 050,6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122 183,7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689,0</w:t>
            </w:r>
          </w:p>
        </w:tc>
      </w:tr>
      <w:tr>
        <w:trPr>
          <w:trHeight w:val="88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114 952,3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134 159,1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133 144,6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137 948,8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143 466,7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149 205,4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812 876,9</w:t>
            </w:r>
          </w:p>
        </w:tc>
      </w:tr>
      <w:tr>
        <w:trPr>
          <w:trHeight w:val="436"/>
        </w:trPr>
        <w:tc>
          <w:tcPr>
            <w:tcW w:w="709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551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функций органами местного самоуправления в сфере культуры</w:t>
            </w:r>
          </w:p>
        </w:tc>
        <w:tc>
          <w:tcPr>
            <w:tcW w:w="2552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Управление культуры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5 645,3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6174,0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6 447,6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6 692,8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6 960,5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7 238,9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39 159,1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436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436"/>
        </w:trPr>
        <w:tc>
          <w:tcPr>
            <w:tcW w:w="709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2551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552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Централи-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зованная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бухгалтерия"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109 307,0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127 985,1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126 697,0</w:t>
            </w: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131 256,0</w:t>
            </w: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136 506,2</w:t>
            </w:r>
          </w:p>
        </w:tc>
        <w:tc>
          <w:tcPr>
            <w:tcW w:w="1275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141 966,5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773 717,8</w:t>
            </w:r>
          </w:p>
        </w:tc>
      </w:tr>
      <w:tr>
        <w:trPr>
          <w:trHeight w:val="436"/>
        </w:trPr>
        <w:tc>
          <w:tcPr>
            <w:tcW w:w="709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465,6</w:t>
            </w:r>
          </w:p>
        </w:tc>
      </w:tr>
      <w:tr>
        <w:trPr>
          <w:trHeight w:val="562"/>
        </w:trPr>
        <w:tc>
          <w:tcPr>
            <w:tcW w:w="709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551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 муниципальных служащих</w:t>
            </w: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</w:tr>
      <w:tr>
        <w:trPr>
          <w:trHeight w:val="225"/>
        </w:trPr>
        <w:tc>
          <w:tcPr>
            <w:tcW w:w="709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2551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Переподготовка и повышение квалификации </w:t>
            </w:r>
          </w:p>
        </w:tc>
        <w:tc>
          <w:tcPr>
            <w:tcW w:w="2552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Участники: 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413,6</w:t>
            </w:r>
          </w:p>
        </w:tc>
      </w:tr>
      <w:tr>
        <w:trPr>
          <w:trHeight w:val="684"/>
        </w:trPr>
        <w:tc>
          <w:tcPr>
            <w:tcW w:w="709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22,4</w:t>
            </w:r>
          </w:p>
        </w:tc>
      </w:tr>
      <w:tr>
        <w:trPr>
          <w:trHeight w:val="690"/>
        </w:trPr>
        <w:tc>
          <w:tcPr>
            <w:tcW w:w="709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       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112,0</w:t>
            </w:r>
          </w:p>
        </w:tc>
      </w:tr>
      <w:tr>
        <w:trPr>
          <w:trHeight w:val="654"/>
        </w:trPr>
        <w:tc>
          <w:tcPr>
            <w:tcW w:w="709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"ЦБС                         г. Бодайбо и района";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44,8</w:t>
            </w:r>
          </w:p>
        </w:tc>
      </w:tr>
      <w:tr>
        <w:trPr>
          <w:trHeight w:val="645"/>
        </w:trPr>
        <w:tc>
          <w:tcPr>
            <w:tcW w:w="709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музей.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44,8</w:t>
            </w:r>
          </w:p>
        </w:tc>
      </w:tr>
      <w:tr>
        <w:trPr>
          <w:trHeight w:val="703"/>
        </w:trPr>
        <w:tc>
          <w:tcPr>
            <w:tcW w:w="709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"Централизованная бухгалтерия"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189,6</w:t>
            </w:r>
          </w:p>
        </w:tc>
      </w:tr>
    </w:tbl>
    <w:p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».</w:t>
      </w: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5 к Программе</w:t>
      </w: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Прогнозная (справочная) оценка ресурсного</w:t>
      </w: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обеспечения реализации Программы за счёт всех источников финансирования</w:t>
      </w: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b"/>
        <w:tblW w:w="1545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2268"/>
        <w:gridCol w:w="2268"/>
        <w:gridCol w:w="1134"/>
        <w:gridCol w:w="1134"/>
        <w:gridCol w:w="1134"/>
        <w:gridCol w:w="1134"/>
        <w:gridCol w:w="1134"/>
        <w:gridCol w:w="1134"/>
        <w:gridCol w:w="1418"/>
      </w:tblGrid>
      <w:tr>
        <w:trPr>
          <w:trHeight w:val="129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расходов (тыс. руб.), годы</w:t>
            </w:r>
          </w:p>
        </w:tc>
      </w:tr>
      <w:tr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«Развитие культуры Бодайбинского района» на 2025-2030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-МКОУ ДО "ДМШ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"ЦБС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-Бодайбинский городской краеведческий музей;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"Централизованная бухгалтерия"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ind w:righ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346564,8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435208,3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411492,0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423278,0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417484,6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434098,8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2 468 126,5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345459,5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423018,4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417484,6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434098,8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2 461 574,3</w:t>
            </w:r>
          </w:p>
        </w:tc>
      </w:tr>
      <w:tr>
        <w:trPr>
          <w:trHeight w:val="15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4 932,3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6 552,2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>
        <w:trPr>
          <w:trHeight w:val="4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Сохранение дополнительного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образования в сфере культуры, направленного на творческую самореализацию детей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Ответственный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исполнитель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47 158,1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51 223,6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49 979,8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51 918,9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51 865,7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53 936,1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306 082,2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47 158,1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51 223,6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49 979,8</w:t>
            </w: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51 918,9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51 865,7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53 936,1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306 082,2</w:t>
            </w: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15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культурно-досуговой деятельности населения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  Управление культуры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112311,0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156939,7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136390,1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131482,9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136717,2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807 476,7</w:t>
            </w:r>
          </w:p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111446,6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136390,1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131482,9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136717,2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801 929,8</w:t>
            </w:r>
          </w:p>
        </w:tc>
      </w:tr>
      <w:tr>
        <w:trPr>
          <w:trHeight w:val="15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5 546,9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               МКУК "ЦБС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54 921,5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71 603,9</w:t>
            </w:r>
          </w:p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73 081,9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75 223,7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70 376,3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418 352,4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54 680,6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71 354,1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72 826,9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74 964,1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70 376,3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417 347,1</w:t>
            </w:r>
          </w:p>
        </w:tc>
      </w:tr>
      <w:tr>
        <w:trPr>
          <w:trHeight w:val="15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1 005,3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4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21 282,0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21 533,5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21 680,1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20 176,6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20 978,6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122 872,7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17 221,9</w:t>
            </w: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21 680,1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20 176,6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20 978,6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122 872,7</w:t>
            </w:r>
          </w:p>
        </w:tc>
      </w:tr>
      <w:tr>
        <w:trPr>
          <w:trHeight w:val="15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                МКУК "Централизованная бухгалтерия"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114952,3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134159,1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137948,8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143466,7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149205,4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812 876,9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114952,3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134159,1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137948,8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143466,7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149205,4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812 876,9</w:t>
            </w:r>
          </w:p>
        </w:tc>
      </w:tr>
      <w:tr>
        <w:trPr>
          <w:trHeight w:val="15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 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Управление культуры; - МКОУ ДО "ДМШ г. Бодайбо и района"; - МКУ "КДЦ г. Бодайбо и района"; - МКУК "ЦБС г. Бодайбо и района"; - Бодайбинский городской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краеведческий музей; - МКУК "Централизованная бухгалтерия"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465,6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465,6</w:t>
            </w:r>
          </w:p>
        </w:tc>
      </w:tr>
      <w:tr>
        <w:trPr>
          <w:trHeight w:val="15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spacing w:line="25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».</w:t>
      </w: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  <w:sectPr>
          <w:pgSz w:w="16838" w:h="11906" w:orient="landscape"/>
          <w:pgMar w:top="568" w:right="567" w:bottom="568" w:left="425" w:header="709" w:footer="709" w:gutter="0"/>
          <w:cols w:space="708"/>
          <w:docGrid w:linePitch="360"/>
        </w:sectPr>
      </w:pP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Приложение 6 к Программе</w:t>
      </w:r>
    </w:p>
    <w:p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Методика расчета целевых показателей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«Развитие культуры Бодайбинского района» на 2025-2030 годы</w:t>
      </w:r>
    </w:p>
    <w:p>
      <w:pPr>
        <w:spacing w:after="0" w:line="276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 Задачи 1 «Сохранение дополнительного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образования сферы культуры»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820"/>
        <w:gridCol w:w="4252"/>
      </w:tblGrid>
      <w:tr>
        <w:trPr>
          <w:trHeight w:val="175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20" w:type="dxa"/>
          </w:tcPr>
          <w:p>
            <w:pPr>
              <w:spacing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Периодичность </w:t>
            </w:r>
          </w:p>
          <w:p>
            <w:pPr>
              <w:spacing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869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охвата детей Бодайбинского района эстетическим образованием относительно числу обучающихся в общеобразовательных школах </w:t>
            </w:r>
          </w:p>
          <w:p>
            <w:pPr>
              <w:pStyle w:val="a9"/>
            </w:pPr>
            <w:r>
              <w:rPr>
                <w:rFonts w:ascii="Times New Roman" w:hAnsi="Times New Roman"/>
                <w:sz w:val="24"/>
                <w:szCs w:val="24"/>
              </w:rPr>
              <w:t>с 1-го по 7 классы</w:t>
            </w:r>
            <w:r>
              <w:t xml:space="preserve"> </w:t>
            </w:r>
          </w:p>
        </w:tc>
        <w:tc>
          <w:tcPr>
            <w:tcW w:w="4252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589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0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численности учащихся музыкальных школ от общего числа обучающихся в музыкальных школах</w:t>
            </w:r>
          </w:p>
        </w:tc>
        <w:tc>
          <w:tcPr>
            <w:tcW w:w="4252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20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</w:t>
            </w:r>
          </w:p>
        </w:tc>
        <w:tc>
          <w:tcPr>
            <w:tcW w:w="4252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1). Алгоритм расчета показателя № 1: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Дод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= (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х 100%):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Уош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Дод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   доля охвата детей;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*- количество детей, обучающихся в музыкальных школах района;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Уош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**- количество детей, обучающихся в общеобразовательных школах с 1-го по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7-й классы.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*Исходные данные для определения значения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опубликованы на официальном сайте МКОУ ДО «Детская музыкальная школа г. Бодайбо и района» bodaybo.irk.muzkult.ru в разделе «Сведения об образовательной организации» во вкладке «Данные о численности обучающихся» или указаны 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Разделе 2.2. «Распределение приема, численности и выпуска обучающихся по образовательным программам», Графы 2 «Всего обучающихся на начало учебного года», в строке 49 «Всего»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формы ежегодного Федерального статистического наблюдения № 1 ДШИ, утвержденной приказом Росстата от 04.04.2019 N 195 "Об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детских музыкальных, художественных, хореографических школ и школ искусств. 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**Исходные данные для определения значения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Уош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опубликованы на официальном сайте территориального органа Федеральной службы государственной статистики Иркутской области в разделе «Статистика», во вкладке «Демография», во вложении «Численность населения по полу и возрасту Муниципального образования города Бодайбо и района» на 1 января отчетного года.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2). Алгоритм расчета показателя № 2: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Счм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= (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х 100%):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Счм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значение сохранения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численности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 на отчетную дату;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*- количество детей, обучающихся в музыкальных школах района на отчетную дату.</w:t>
      </w:r>
    </w:p>
    <w:p>
      <w:pPr>
        <w:spacing w:after="0" w:line="276" w:lineRule="auto"/>
        <w:ind w:firstLine="66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*Исходные данные для определения значения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опубликованы на официальном сайте МКОУ ДО «Детская музыкальная школа г. Бодайбо и района» bodaybo.irk.muzkult.ru в разделе «Сведения об образовательной организации» во вкладке «Данные о численности обучающихся» или указаны 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Разделе 2.2. «Распределение приема, численности и выпуска обучающихся по образовательным программам», графы 2 «Всего обучающихся на начало учебного года», в строке 50 «Численность обучающихся принявших участие в творческих мероприятиях»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формы ежегодного Федерального статистического наблюдения № 1 ДШИ, утвержденной приказом Росстата от 04.04.2019 N 195 "Об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детских музыкальных, художественных, хореографических школ и школ искусств. </w:t>
      </w:r>
    </w:p>
    <w:p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3). Алгоритм расчета показателя № 3:</w:t>
      </w:r>
    </w:p>
    <w:p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Дмт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= (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х 100%):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Дмт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-значение доли обучающихся, принявших участие в творческих мероприятиях в отчетном периоде;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Умт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*- фактическое количество участников творческих мероприятий, проводимых в музыкальных школах района.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*Используются данные плана проведения культурно-массовых мероприятий в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музыкальных школах района.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Сводный годовой отчет работы МКОУ ДО «Детская музыкальная школа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г. Бодайбо и района» размещен на официальном сайте учреждения bodaybo.irk.muzkult.ru в разделе «Документы».</w:t>
      </w:r>
    </w:p>
    <w:p>
      <w:pPr>
        <w:spacing w:after="0" w:line="276" w:lineRule="auto"/>
        <w:ind w:left="72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 Задачи 2 «Сохранение самодеятельного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художественного творчества, организация культурно-досуговой деятельности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территории района»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103"/>
        <w:gridCol w:w="4536"/>
      </w:tblGrid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536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и клубных формирований</w:t>
            </w:r>
          </w:p>
        </w:tc>
        <w:tc>
          <w:tcPr>
            <w:tcW w:w="4536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614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  <w:tc>
          <w:tcPr>
            <w:tcW w:w="4536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культурно-массовых мероприятий на платной основе</w:t>
            </w:r>
          </w:p>
        </w:tc>
        <w:tc>
          <w:tcPr>
            <w:tcW w:w="4536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  <w:tc>
          <w:tcPr>
            <w:tcW w:w="4536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зрителей кинопоказов на платной основе </w:t>
            </w:r>
          </w:p>
        </w:tc>
        <w:tc>
          <w:tcPr>
            <w:tcW w:w="4536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1). Алгоритм расчета показателя № 1: 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Ккр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*=К1+К2+К3+К4+К5+К6+К7+К8+К9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Ккр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суммарное количество кружков и клубных формирований всего по МКУ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«Культурно-досуговый центр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К1-данные о количестве кружков и клубных формирований культурно-досугового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К2- данные о количестве кружков и клубных формирований досугового центра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п.Мамакан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К3- данные о количестве кружков и клубных формирований клуба микрорайона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К4- данные о количестве кружков и клубных формирований клуба микрорайона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К5- данные о количестве кружков и клубных формирований досугового центра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К6- данные о количестве кружков и клубных формирований досугового центра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К7- данные о количестве кружков и клубных формирований досугового центра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К8- данные о количестве кружков и клубных формирований клуба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К9- данные о количестве кружков и клубных формирований досугового центра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Перевоз.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2 «Клубные формирования», графы 39 «Число клубных формирований»,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2). Алгоритм расчета показателя № 2: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Куч*= У1+У2+У3+У4+У5+У6+У7+У8+У9, </w:t>
      </w:r>
      <w:r>
        <w:rPr>
          <w:rFonts w:ascii="Times New Roman" w:hAnsi="Times New Roman" w:cs="Times New Roman"/>
          <w:sz w:val="26"/>
          <w:szCs w:val="26"/>
          <w:lang w:eastAsia="ru-RU"/>
        </w:rPr>
        <w:t>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Куч - суммарное количество участников кружков и клубных формирований всего по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МКУ «Культурно-досуговый центр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У1-данные о количестве участников кружков и клубных формирований культурно-досугового 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У2- данные о количестве участников кружков и клубных формирований досугового центра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п.Мамакан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У3- данные о количестве участников кружков и клубных формирований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У4- данные о количестве участников кружков и клубных формирований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У5- данные о количестве участников кружков и клубных формирований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У6- данные о количестве участников кружков и клубных формирований досугового центра 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- У7- данные о количестве участников кружков и клубных формирований досугового центра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У8- данные о количестве участников кружков и клубных формирований клуба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У9- данные о количестве участников кружков и клубных формирований досугового центра п. Перевоз.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*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2 «Клубные формирования», графы 42 «В них участников, чел. Всего»,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3). Алгоритм расчета показателя № 3 </w:t>
      </w:r>
    </w:p>
    <w:p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Кмм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* = М1+М2+М3+М4+М5+М6+М7+М8+М9, </w:t>
      </w:r>
      <w:r>
        <w:rPr>
          <w:rFonts w:ascii="Times New Roman" w:eastAsia="Calibri" w:hAnsi="Times New Roman" w:cs="Times New Roman"/>
          <w:sz w:val="26"/>
          <w:szCs w:val="26"/>
        </w:rPr>
        <w:t>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Кмм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суммарное количество культурно-массовых мероприятий на платной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основе всего по МКУ «Культурно-досуговый центр г. Бодайбо и района»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М1- данные о количестве культурно-массовых мероприятий на платной основе в отчетном периоде культурно-досугового 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М2- данные о количестве культурно-массовых мероприятий на платной основе в отчетном периоде досугового центра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п.Мамакан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М3- данные о количестве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М4- данные о количестве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М5- данные о количестве культурно-массовых мероприятий на платной основе в отчетном периоде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М6- данные о количестве культурно-массовых мероприятий на платной основе в отчетном периоде досугового центра 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М7- данные о количестве культурно-массовых мероприятий на платной основе в отчетном периоде досугового центра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М8- данные о количестве культурно-массовых мероприятий на платной основе в отчетном периоде клуба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М9- данные о количестве культурно-массовых мероприятий на платной основе в отчетном периоде досугового центра п. Перевоз.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*При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3 «Культурно-массовые мероприятия», графы 88 «Число культурно-массовых мероприятия на платной основе - всего, ед.», строки 01 «Организации культурно-досугового типа» Формы 7НК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4). Алгоритм расчета показателя № 4</w:t>
      </w:r>
    </w:p>
    <w:p>
      <w:pPr>
        <w:spacing w:after="0" w:line="276" w:lineRule="auto"/>
        <w:ind w:left="72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Кпм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*=П1+П2+П3+П4+П5+П6+П7+П8+П9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Кпм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-суммарное количество зрителей культурно-массовых мероприятий на платной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основе всего по МКУ «Культурно-досуговый центр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П1- данные о количестве зрителей культурно-массовых мероприятий на платной основе в отчетном периоде культурно-досугового 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П2- данные о количестве зрителей культурно-массовых мероприятий на платной основе в отчетном периоде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П3- данные о количестве зрителей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П4- данные о количестве зрителей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П5- данные о количестве зрителей культурно-массовых мероприятий на платной основе в отчетном периоде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П6- данные о количестве зрителей культурно-массовых мероприятий на платной основе в отчетном периоде досугового центра 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П7- данные о количестве зрителей культурно-массовых мероприятий на платной основе в отчетном периоде досугового центра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П8- данные о количестве зрителей культурно-массовых мероприятий на платной основе в отчетном периоде клуба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П9- данные о количестве зрителей культурно-массовых мероприятий на платной основе в отчетном периоде досугового центра п. Перевоз.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Раздела 3 «Культурно-массовые мероприятия», графы 106 «Число посещений культурно-массовых мероприятий на платной основе - всего, чел.»,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5) Алгоритм расчета показателя № 5</w:t>
      </w:r>
    </w:p>
    <w:p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КП* = Кз1+Кз2+Кз3+Кз4+Кз5+Кз6+Кз7+Кз8+Кз9+Кз10+Кз11+Кз12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КП- суммарное количество проданных билетов зрителям кинопоказа всего по месяцам (нарастающим итогом) в кинотеатре «Витим»;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 Кз1, Кз2, Кз3, Кз4, Кз5, Кз6, Кз7, Кз8, Кз9, Кз10, Кз11, Кз12- данные о количестве проданных билетов по месяцам (нарастающим итогом) с января по декабрь отчетного года.</w:t>
      </w:r>
    </w:p>
    <w:p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 ежемесячных отчетов кассира кинотеатра.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Сводный годовой отчет МКУ «Культурно-досуговый центр г. Бодайбо и района» размещен на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официальном сайте </w:t>
      </w:r>
      <w:r>
        <w:rPr>
          <w:rFonts w:ascii="Times New Roman" w:hAnsi="Times New Roman" w:cs="Times New Roman"/>
          <w:sz w:val="26"/>
          <w:szCs w:val="26"/>
        </w:rPr>
        <w:t>kdc.irk.muzkult.ru в разделе «Документы».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Задачи 3. «Повышение эффективности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библиотечного, библиографического и информационного обслуживания жителей»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245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66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выполненных справок (консультаций) пользователям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читателей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проведенных общественно значимых мероприятий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Алгоритм расчета показателя №1</w:t>
      </w:r>
    </w:p>
    <w:p>
      <w:pPr>
        <w:spacing w:after="0" w:line="276" w:lineRule="auto"/>
        <w:ind w:left="1080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Бкэ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>*=Э1+Э2+Э3+Э4+Э5+Э6+Э7+Э8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Бкэ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суммарное количество выданных экземпляров библиотечного фонда читателям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всего по МКУК «Централизованная библиотечная система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Э1- данные о количестве выданных экземпляров библиотечного фонда в Центральной городской библиотеке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Э2- данные о количестве выданных экземпляров библиотечного фонда в Детской городской библиотеке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Э3-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Э4-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Э5-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Э6-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Э7-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Э8-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с. Большой Патом.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6 «Библиотечно-информационное обслуживание пользователей», графы 100 «Выдано (просмотрено) документов из фондов данной библиотеки (всего)», строки 01 «Муниципальные общедоступные библиотеки, всего»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2). </w:t>
      </w:r>
      <w:r>
        <w:rPr>
          <w:rFonts w:ascii="Times New Roman" w:hAnsi="Times New Roman" w:cs="Times New Roman"/>
          <w:sz w:val="26"/>
          <w:szCs w:val="26"/>
          <w:lang w:eastAsia="ru-RU"/>
        </w:rPr>
        <w:t>Алгоритм расчета показателя № 2</w:t>
      </w:r>
    </w:p>
    <w:p>
      <w:pPr>
        <w:spacing w:after="0" w:line="276" w:lineRule="auto"/>
        <w:ind w:left="708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Ск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 С1+С1+С3+С4+С5+С6+С7+С8,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Ск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суммарное количество выполненных справок и консультаций всего по МКУК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«Централизованная библиотечная система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С1-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Центральной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городской библиотеке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С2-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Детской городской библиотеке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С3-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С4-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С5-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С6-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С7-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С8-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с. Большой Патом.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Раздела 6 «Библиотечно-информационное обслуживание пользователей», графы 108 «Выполнено справок и консультаций, тыс. ед.(с точностью до 0,01)», строки 01 «Муниципальные общедоступные библиотеки, всего» 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3). Алгоритм расчета показателя № 3</w:t>
      </w:r>
    </w:p>
    <w:p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Чо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>* = Ч1+Ч2+Ч3+Ч4+Ч5+Ч6+Ч7+Ч8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Чо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-суммарная численность читателей всего по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МКУК «Централизованная 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библиотечная система г. Бодайбо и района»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Ч1- численность читателей Центральной городской библиотеки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Ч2- численность читателей Детской городской библиотеки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Ч3- численность читателей библиотеке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Ч4- численность читателей библиотеки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Ч5- численность читателей библиотеки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Ч6- численность читателей библиотеки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 Ч7- численность читателей библиотеки 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Ч8- численность читателей библиотеки с. Большой Патом.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4). Алгоритм расчета показателя № 4</w:t>
      </w:r>
    </w:p>
    <w:p>
      <w:pPr>
        <w:spacing w:after="0" w:line="276" w:lineRule="auto"/>
        <w:ind w:left="213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Ом=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О1+О2+О3+О4+О5+О6+О7+О8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Ом-суммарное количество проведенных общественно значимых мероприятий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всего по </w:t>
      </w:r>
      <w:r>
        <w:rPr>
          <w:rFonts w:ascii="Times New Roman" w:hAnsi="Times New Roman" w:cs="Times New Roman"/>
          <w:sz w:val="26"/>
          <w:szCs w:val="26"/>
          <w:lang w:eastAsia="ru-RU"/>
        </w:rPr>
        <w:t>МКУК «Централизованная библиотечная система г. Бодайбо и района»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О1- численность читателей Центральной городской библиотеки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О2- численность читателей Детской городской библиотеки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О3- численность читателей библиотеке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О4- численность читателей библиотеки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О5- численность читателей библиотеки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О6- численность читателей библиотеки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О7- численность читателей библиотеки 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О8- численность читателей библиотеки с. Большой Патом.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Раздела 4 «Число пользователей и посещений библиотеки» графы 87 «Число зарегистрированных пользователей библиотеки, тыс. чел. (с точностью до 0,1)», строки 01 «Муниципальные общедоступные библиотеки, всего» 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</w:t>
      </w:r>
    </w:p>
    <w:p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Сводный годовой отчет работы МКУК «Централизованная библиотечная система г. Бодайбо и района» размещен на официальном сайте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cbs-bodaibo.ru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 графе «ЦБС 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г. Бодайбо и района» во вкладке «Документы».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 Задачи 4 «</w:t>
      </w:r>
      <w:r>
        <w:rPr>
          <w:rFonts w:ascii="Times New Roman" w:hAnsi="Times New Roman" w:cs="Times New Roman"/>
          <w:bCs/>
          <w:sz w:val="26"/>
          <w:szCs w:val="26"/>
        </w:rPr>
        <w:t>Сохранение и развитие экспозиционно-выставочной деятельности муниципального музея»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245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ответственными лицами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представленных (во всех формах) зрителю музейных предметов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Алгоритм расчета показателя № 1</w:t>
      </w:r>
    </w:p>
    <w:p>
      <w:pPr>
        <w:spacing w:after="0" w:line="276" w:lineRule="auto"/>
        <w:ind w:left="36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Пп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*=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Поф+Пвф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ru-RU"/>
        </w:rPr>
        <w:t>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Пп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суммарное количество представленных (во всех формах) зрителям музейных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предметов;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Поф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количество (нарастающим итогом) представленных зрителям музейных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предметов основного фонда;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Пвф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количество (нарастающим итогом) представленных зрителям музейных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предметов вспомогательного фонда.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>Раздела 1 «Краткая характеристика фондов», как сумма графы 4 «Число предметов основного фонда, которые экспонировались в течение отчетного года», строки 01 «Всего (сумма строк 02-16)» и строки вне таблицы  «Число предметов научно-вспомогательного фонда, экспонировавшихся за отчетный период (из стр.01 гр.5)»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2). Алгоритм расчета показателя № 2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Кпм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>*</w:t>
      </w:r>
      <w:r>
        <w:rPr>
          <w:rFonts w:ascii="Times New Roman" w:eastAsia="Calibri" w:hAnsi="Times New Roman" w:cs="Times New Roman"/>
          <w:sz w:val="26"/>
          <w:szCs w:val="26"/>
        </w:rPr>
        <w:t>=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Кпм1+Кпм2+Кпм3+Кпм4+Кпм5+Кпм6+Кпм7+Кпм8+Кпм9+Кпм10+</w:t>
      </w:r>
    </w:p>
    <w:p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Кпм11+Кпм12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где: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Кпм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суммарное количество посетителей музея;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Кпм1, Кпм2, Кпм3, Кпм4, Кпм5, Кпм6, Кпм7, Кпм8, Кпм9, Кпм10, Кпм11, Кпм12- данные о количестве посетителей по месяцам (нарастающим итогом) с января по декабрь отчетного года.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>Раздела 6 «Научно-просветительная работа, графа 16 «Число посещений музея –всего, тыс. чел (сумма гр. 3, 13, 15)»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3). Алгоритм расчета показателя № 3</w:t>
      </w:r>
    </w:p>
    <w:p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Вв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*=В1+В2+В3+В4+В5+В6+В7+В8+В9+В10+В11+В12,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Вв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суммарное количество выездных выставок;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В1, В2, В3, В4, В5, В6, В7, В8, В9, В10, В11, В12- количество выездных выставок по месяцам (нарастающим итогом) с января по декабрь отчетного года.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>Раздела 7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Выставочно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-экспозиционная деятельность», графы 10 «Из общего числа выставок проведены (из гр. 2)»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Сводный годовой отчет работы МКУК «Бодайбинский городской краеведческий музей им. В.Ф. Верещагина» размещен на официальном сайте учреждения </w:t>
      </w:r>
      <w:r>
        <w:rPr>
          <w:rFonts w:ascii="Times New Roman" w:hAnsi="Times New Roman" w:cs="Times New Roman"/>
          <w:sz w:val="26"/>
          <w:szCs w:val="26"/>
        </w:rPr>
        <w:t>bodmuseum.irk.muzkult.ru в разделе «Документы».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 Задачи 5 «Совершенствование </w:t>
      </w:r>
    </w:p>
    <w:p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организационного, методического, экономического механизмов функционирования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сферы культуры района»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387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78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5387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1). Алгоритм расчета показателя № 1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Но*= (-Н</w:t>
      </w:r>
      <w:proofErr w:type="gramStart"/>
      <w:r>
        <w:rPr>
          <w:rFonts w:ascii="Times New Roman" w:eastAsia="Calibri" w:hAnsi="Times New Roman" w:cs="Times New Roman"/>
          <w:b/>
          <w:sz w:val="26"/>
          <w:szCs w:val="26"/>
        </w:rPr>
        <w:t>1)+</w:t>
      </w:r>
      <w:proofErr w:type="gramEnd"/>
      <w:r>
        <w:rPr>
          <w:rFonts w:ascii="Times New Roman" w:eastAsia="Calibri" w:hAnsi="Times New Roman" w:cs="Times New Roman"/>
          <w:b/>
          <w:sz w:val="26"/>
          <w:szCs w:val="26"/>
        </w:rPr>
        <w:t>(-Н2)+(-Н3)+(-Н4)+(-Н5)+(-Н6)+(-Н7)+(-Н8)+(-Н9)+(-Н10)+</w:t>
      </w:r>
    </w:p>
    <w:p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(-Н</w:t>
      </w:r>
      <w:proofErr w:type="gramStart"/>
      <w:r>
        <w:rPr>
          <w:rFonts w:ascii="Times New Roman" w:eastAsia="Calibri" w:hAnsi="Times New Roman" w:cs="Times New Roman"/>
          <w:b/>
          <w:sz w:val="26"/>
          <w:szCs w:val="26"/>
        </w:rPr>
        <w:t>11)+</w:t>
      </w:r>
      <w:proofErr w:type="gramEnd"/>
      <w:r>
        <w:rPr>
          <w:rFonts w:ascii="Times New Roman" w:eastAsia="Calibri" w:hAnsi="Times New Roman" w:cs="Times New Roman"/>
          <w:b/>
          <w:sz w:val="26"/>
          <w:szCs w:val="26"/>
        </w:rPr>
        <w:t>(-Н12)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Но-суммарное количество замечаний в отчетном периоде;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Н1, Н2, Н3, Н4, Н5, Н6, Н7, Н8, Н9, Н10, Н11, Н12- </w:t>
      </w:r>
      <w:r>
        <w:rPr>
          <w:rFonts w:ascii="Times New Roman" w:hAnsi="Times New Roman" w:cs="Times New Roman"/>
          <w:sz w:val="26"/>
          <w:szCs w:val="26"/>
          <w:lang w:eastAsia="ru-RU"/>
        </w:rPr>
        <w:t>количество замечаний по месяцам (нарастающим итогом) с января по декабрь отчетного года.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Показатель № 1 является негативным. При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подсчете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Но </w:t>
      </w:r>
      <w:r>
        <w:rPr>
          <w:rFonts w:ascii="Times New Roman" w:hAnsi="Times New Roman" w:cs="Times New Roman"/>
          <w:sz w:val="26"/>
          <w:szCs w:val="26"/>
          <w:lang w:eastAsia="ru-RU"/>
        </w:rPr>
        <w:t>итоговый результат будет иметь отрицательное значение.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2). Алгоритм расчета показателя № 2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Уж=(-Ж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1)+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>(-Ж2)+(-Ж3)+(-Ж4)+(-Ж5)+(-Ж6)+(-Ж7)+(-Ж8)+(-Ж9)+(-Ж10)+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(-Ж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11)+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>(-Ж12),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Уж- суммарное количество жалоб в отчетном периоде;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Ж1, Ж2, Ж3, Ж4, Ж5, Ж6, Ж7, Ж8, Ж9, Ж10, Ж11, Ж12- количество жалоб по месяцам (нарастающим итогом) с января по декабрь отчетного года.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Показатель № 2 является негативным. При подсчете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Уж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итоговый результат будет иметь отрицательное значение.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*Перечень проверок и предписаний органов, осуществляющих контроль в сфере культуры размещен на официальном сайте Администрации муниципального образования г. Бодайбо и района» в разделе «Администрация», во вкладке «Культура», на странице «Документы».».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В случае отсутствия в отчетном периоде замечаний и жалоб значение Показателя № 1 и Показателя № 2 будет положительным и равен 1 по каждому из показателей.</w:t>
      </w:r>
    </w:p>
    <w:p>
      <w:pPr>
        <w:spacing w:after="0" w:line="276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 целевых показателей задачи 6 «Организация переподготовки и повышения квалификации работников учреждений культуры»</w:t>
      </w:r>
    </w:p>
    <w:p>
      <w:pPr>
        <w:spacing w:after="0" w:line="276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387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559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Показатель складывается на основании отчета сотрудников кадровой службы, которые представляют сведения о работниках, прошедших переподготовку или повышение квалификации в отчетном периоде (согласно приказам, направлениям на обучение, наличию документов об обучении).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случае отсутствия финансирования по статье «Переподготовка и повышение квалификации специалистов муниципальных учреждений и муниципальных служащих», показатель не рассчитывается и не учитывается при определении эффективности Программы по итогам отчетного периода. </w:t>
      </w:r>
    </w:p>
    <w:sectPr>
      <w:pgSz w:w="11906" w:h="16838"/>
      <w:pgMar w:top="567" w:right="851" w:bottom="42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95E67"/>
    <w:multiLevelType w:val="hybridMultilevel"/>
    <w:tmpl w:val="86F4A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F5C5B"/>
    <w:multiLevelType w:val="hybridMultilevel"/>
    <w:tmpl w:val="6A20E3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24E7F"/>
    <w:multiLevelType w:val="hybridMultilevel"/>
    <w:tmpl w:val="76540F4E"/>
    <w:lvl w:ilvl="0" w:tplc="FCBA0440">
      <w:start w:val="1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3823EA9"/>
    <w:multiLevelType w:val="hybridMultilevel"/>
    <w:tmpl w:val="9BBCEE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F2892"/>
    <w:multiLevelType w:val="hybridMultilevel"/>
    <w:tmpl w:val="55BCA5F2"/>
    <w:lvl w:ilvl="0" w:tplc="8E3E6692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D09FB"/>
    <w:multiLevelType w:val="hybridMultilevel"/>
    <w:tmpl w:val="11460C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6624C0"/>
    <w:multiLevelType w:val="hybridMultilevel"/>
    <w:tmpl w:val="C7907DB2"/>
    <w:lvl w:ilvl="0" w:tplc="E940FC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6D5E71"/>
    <w:multiLevelType w:val="hybridMultilevel"/>
    <w:tmpl w:val="13646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revisionView w:comment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FD568-A033-45C0-A0C0-5CF059A7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9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Pr>
      <w:color w:val="0000FF"/>
      <w:u w:val="single"/>
    </w:rPr>
  </w:style>
  <w:style w:type="table" w:customStyle="1" w:styleId="10">
    <w:name w:val="Сетка таблицы1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305062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65440-7381-449A-AAC3-98E38AE99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41</Pages>
  <Words>14557</Words>
  <Characters>82981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Ярковая Виктория Владимировна</cp:lastModifiedBy>
  <cp:revision>4</cp:revision>
  <cp:lastPrinted>2024-12-26T06:41:00Z</cp:lastPrinted>
  <dcterms:created xsi:type="dcterms:W3CDTF">2024-11-07T04:47:00Z</dcterms:created>
  <dcterms:modified xsi:type="dcterms:W3CDTF">2026-06-30T08:18:00Z</dcterms:modified>
</cp:coreProperties>
</file>