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Утверждена </w:t>
      </w:r>
    </w:p>
    <w:p>
      <w:pPr>
        <w:spacing w:after="0" w:line="240" w:lineRule="auto"/>
        <w:jc w:val="right"/>
        <w:rPr>
          <w:rFonts w:ascii="Times New Roman" w:eastAsia="Tahoma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постановлением Администрации г. Бодайбо и района </w:t>
      </w:r>
      <w:r>
        <w:rPr>
          <w:rFonts w:ascii="Times New Roman" w:eastAsia="Tahoma" w:hAnsi="Times New Roman" w:cs="Times New Roman"/>
          <w:sz w:val="24"/>
          <w:szCs w:val="24"/>
        </w:rPr>
        <w:t>от 26.12.2024 № 297-пп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ahoma" w:hAnsi="Times New Roman" w:cs="Times New Roman"/>
          <w:sz w:val="24"/>
          <w:szCs w:val="24"/>
        </w:rPr>
        <w:t xml:space="preserve">(в редакции </w:t>
      </w:r>
      <w:r>
        <w:rPr>
          <w:rFonts w:ascii="Times New Roman" w:eastAsia="Calibri" w:hAnsi="Times New Roman" w:cs="Times New Roman"/>
          <w:sz w:val="24"/>
          <w:szCs w:val="24"/>
        </w:rPr>
        <w:t xml:space="preserve">постановлений Администрации г. Бодайбо и района 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15.04.2025 № 83-п; от № 17.06.2025 № 137-пп; от 23.09.2025 № 215-пп;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24.12.2025 № 302-п; от 30.03.2026 № 88-п; от 29.06.2026 184-п;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21.09.2026 № 237-пп</w:t>
      </w:r>
      <w:r>
        <w:rPr>
          <w:rFonts w:ascii="Times New Roman" w:eastAsia="Tahoma" w:hAnsi="Times New Roman" w:cs="Times New Roman"/>
          <w:sz w:val="24"/>
          <w:szCs w:val="24"/>
        </w:rPr>
        <w:t>)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>
        <w:rPr>
          <w:rFonts w:ascii="Times New Roman" w:eastAsia="Calibri" w:hAnsi="Times New Roman" w:cs="Times New Roman"/>
          <w:b/>
          <w:sz w:val="44"/>
          <w:szCs w:val="44"/>
        </w:rPr>
        <w:t>Муниципальная программа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>
        <w:rPr>
          <w:rFonts w:ascii="Times New Roman" w:eastAsia="Calibri" w:hAnsi="Times New Roman" w:cs="Times New Roman"/>
          <w:b/>
          <w:sz w:val="44"/>
          <w:szCs w:val="44"/>
        </w:rPr>
        <w:t>«Развитие культуры Бодайбинского района»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  <w:r>
        <w:rPr>
          <w:rFonts w:ascii="Times New Roman" w:eastAsia="Calibri" w:hAnsi="Times New Roman" w:cs="Times New Roman"/>
          <w:b/>
          <w:sz w:val="44"/>
          <w:szCs w:val="44"/>
        </w:rPr>
        <w:t>на 2025-2030 годы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4"/>
        </w:rPr>
      </w:pPr>
    </w:p>
    <w:p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Бодайбо,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2025 год  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lastRenderedPageBreak/>
        <w:t>Паспорт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муниципальной программы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«Развитие культуры Бодайбинского района»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на 2025-2030 годы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4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694"/>
        <w:gridCol w:w="6805"/>
      </w:tblGrid>
      <w:tr>
        <w:trPr>
          <w:trHeight w:val="78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№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п\п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 xml:space="preserve">Наименование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Муниципальная программа «Развитие культуры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Бодайбинского района» на 2025-2030 годы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(далее – Программа)</w:t>
            </w:r>
          </w:p>
        </w:tc>
      </w:tr>
      <w:tr>
        <w:trPr>
          <w:trHeight w:val="51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Ответственный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 xml:space="preserve">исполнитель 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Управление культуры администрации муниципального образования г. Бодайбо и района (далее- Управление культуры)</w:t>
            </w:r>
          </w:p>
        </w:tc>
      </w:tr>
      <w:tr>
        <w:trPr>
          <w:trHeight w:val="511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Соисполнители 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 В рамках Программы соисполнители отсутствуют</w:t>
            </w:r>
          </w:p>
        </w:tc>
      </w:tr>
      <w:tr>
        <w:trPr>
          <w:trHeight w:val="22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 xml:space="preserve">Участники 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1.Муниципальное казенное образовательное учреждение дополнительного образования «Детская музыкальная школа г. Бодайбо и района» (далее –МКОУ ДО «ДМШ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г. Бодайбо и района»)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2. Муниципальное казенное учреждение «Культурно-досуговый центр г. Бодайбо и района» (далее – МКУ «КДЦ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г. Бодайбо и района»)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3. Муниципальное казенное учреждение культуры «Централизованная библиотечная система г. Бодайбо и района» (далее – МКУК «ЦБС г. Бодайбо и района»)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 xml:space="preserve">4. Муниципальное казенное учреждение культуры «Бодайбинский городской краеведческий музей 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</w:rPr>
              <w:t>им. В.Ф. Верещагина» (далее – Бодайбинский городской краеведческий музей)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5. Муниципальное казенное учреждение культуры «Централизованная бухгалтерия управления культуры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г. Бодайбо и района» (далее – МКУК «Централизованная бухгалтерия»)</w:t>
            </w:r>
          </w:p>
        </w:tc>
      </w:tr>
      <w:t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Цель Программы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Создание условий для комплексного развития культурного потенциала</w:t>
            </w:r>
            <w:r>
              <w:rPr>
                <w:rFonts w:ascii="Calibri" w:eastAsia="Calibri" w:hAnsi="Calibri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населения Бодайбинского района, повышения качества услуг, предоставляемых учреждениями культуры</w:t>
            </w:r>
          </w:p>
        </w:tc>
      </w:tr>
      <w:t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Задачи 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Создание условий для организации досуга и обеспечения жителей Бодайбинского района услугами учреждений культуры.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4. Сохранение и развитие экспозиционно-выставочной деятельности муниципального музея.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5. Совершенствование организационного, методического, экономического механизмов функционирования сферы культуры района.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6. Организация переподготовки и повышения квалификации работников учреждений культуры.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4"/>
                <w:lang w:eastAsia="ar-SA"/>
              </w:rPr>
            </w:pPr>
          </w:p>
        </w:tc>
      </w:tr>
      <w:tr>
        <w:trPr>
          <w:trHeight w:val="558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Сроки реализации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4"/>
                <w:lang w:eastAsia="ru-RU"/>
              </w:rPr>
              <w:t>2025-2030 годы</w:t>
            </w:r>
          </w:p>
        </w:tc>
      </w:tr>
      <w:tr>
        <w:trPr>
          <w:trHeight w:val="633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 xml:space="preserve">Целевые 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показатели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- доля охвата детей Бодайбинского района эстетическим образованием относительно числу обучающихся в общеобразовательных школах с 1-го по 7 классы;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сохранение численности учащихся музыкальных школ;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доля обучающихся, принимающих участие в конкурсах, смотрах и других творческих мероприятиях от общего числа обучающихся в музыкальных школах.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2. Создание условий для организации досуга и обеспечения жителей Бодайбинского района услугами учреждений культуры: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количество действующих в течение года кружков и клубных формирований в культурно-досуговых учреждениях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участников кружков и клубных формирований;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культурно-массовых мероприятий на платной основе;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-количество посетителей культурно-массовых мероприятий на платной основе;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зрителей кинопоказов на платной основе.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выданных экземпляров библиотечного фонда читателям;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-количество выполненных справок (консультаций) пользователям;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-количество зарегистрированных пользователей муниципальных библиотек;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количество трансляций, проведенных в виртуальном концертном зале.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4. Сохранение и развитие экспозиционно-выставочной деятельности муниципального музея: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представленных (во всех формах) зрителю музейных предметов основного и вспомогательного фондов;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- количество посетителей музея;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выездных выставок.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5. Совершенствование организационного, методического, экономического механизмов функционирования сферы культуры района: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-количество обоснованных замечаний со стороны контролирующих, надзорных органов и вышестоящих организаций;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- количество жалоб, поданных на качество оказываемых услуг в сфере культуры.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6. Организация переподготовки и повышения квалификации работников учреждений культуры: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- количество работников, прошедших переподготовку и повышение квалификации.</w:t>
            </w:r>
          </w:p>
        </w:tc>
      </w:tr>
      <w:tr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Подпрограммы</w:t>
            </w:r>
          </w:p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Программы</w:t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4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</w:rPr>
              <w:t>В рамках Программы подпрограммы не предусмотрены</w:t>
            </w:r>
          </w:p>
        </w:tc>
      </w:tr>
      <w:tr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4"/>
                <w:lang w:eastAsia="ru-RU"/>
              </w:rPr>
              <w:t>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Ресурсное 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Программы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ab/>
            </w: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Общий объем финансирования Программы составляет- </w:t>
            </w:r>
            <w:r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2 462 921,2 тыс. руб., в том числе по годам:</w:t>
            </w:r>
            <w:r>
              <w:rPr>
                <w:rFonts w:ascii="Times New Roman" w:hAnsi="Times New Roman"/>
                <w:sz w:val="26"/>
                <w:szCs w:val="26"/>
              </w:rPr>
              <w:tab/>
            </w:r>
            <w:r>
              <w:rPr>
                <w:rFonts w:ascii="Times New Roman" w:hAnsi="Times New Roman"/>
                <w:sz w:val="26"/>
                <w:szCs w:val="26"/>
              </w:rPr>
              <w:tab/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-  346 564,8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2026 год – 430 003,0 тыс. руб.;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2027 год – 411 492,0 тыс. руб.;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2028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423 278,0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2029 год -  417 484,6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2030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434 098,8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  <w:r>
              <w:t xml:space="preserve">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 счет средств бюджета муниципального образования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Бодайбо и района – 2 457 555,2 тыс. руб., в том числе по годам: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-  345 459,5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2026 год – 426 256,9 тыс. руб.;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411 237,0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2028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423 018,4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2029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417 484,6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2030 год -  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434 098,8 </w:t>
            </w:r>
            <w:r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 счет средств областного бюджета – 4696,9 тыс. руб., в том числе по годам: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– 965,9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2026 год –3566,2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   79,1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 год –    85,7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2029 год -       0,0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2030 год –      0,0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 счет средств федерального бюджета – 669,1 тыс. руб., в том числе по годам: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2025 год – 139,4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2026 год – 179,9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2027 год – 175,9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2028 год – 173,9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2029 год -      0,0 тыс. руб.;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2030 год –     0,0 тыс. руб.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Объем финансирования Программы ежегодно уточняется при формировании бюджета муниципального образования 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Бодайбо и района на соответствующий финансовый год и плановый период, исходя из возможностей бюджета и затрат, необходимых на реализацию Программы.</w:t>
            </w:r>
          </w:p>
        </w:tc>
      </w:tr>
      <w:tr>
        <w:trPr>
          <w:trHeight w:val="465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4"/>
                <w:lang w:eastAsia="ru-RU"/>
              </w:rPr>
              <w:t>10.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Ожидаемые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конечные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результаты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реализации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ru-RU"/>
              </w:rPr>
              <w:t>Программы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</w:p>
          <w:p>
            <w:pPr>
              <w:spacing w:after="0" w:line="240" w:lineRule="auto"/>
              <w:jc w:val="center"/>
              <w:rPr>
                <w:lang w:eastAsia="ru-RU"/>
              </w:rPr>
            </w:pPr>
          </w:p>
        </w:tc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lastRenderedPageBreak/>
              <w:t>Задача1.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1) сохранение доли охвата детей Бодайбинского района эстетическим образованием относительно числу обучающихся в общеобразовательных школах с 1-го по 7 классы в объеме 0 % ежегодно.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2) сохранение численности учащихся музыкальных школ от общего количества обучающихся в музыкальных школах в объеме 90 % ежегодно.                                    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3) увеличение доли обучающихся, принимающих участие в конкурсах, смотрах и других творческих мероприятиях от общего числа обучающихся в музыкальных школах до 100 % к 2031 году.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Задача 2.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Создание условий для организации досуга и обеспечения жителей Бодайбинского района услугами учреждений культуры: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1) сохранение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количества действующих в течение года кружков и клубных формирований в культурно-досуговых учреждениях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- 64 единицы ежегодно,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2) сохранение количества участников кружков и клубных формирований в количестве 825 человек ежегодно.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3) увеличение количества культурно-массовых мероприятий на платной основе до 665 единиц к 2031 году.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4) увеличение количества посещений культурно-массовых мероприятий на платной основе до 16000 человек к 2031 году.  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5) увеличение количества зрителей кинопоказов на платной основе до 12000 человек к 2031 году.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Задача 3.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1) увеличение количества выданных экземпляров библиотечного фонда читателям до 330600 единиц к 2031 году.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2) увеличение количества выполненных справок (консультаций) пользователям до 9200 единиц к 2031 году. 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3) сохранение количества зарегистрированных пользователей муниципальных библиотек – 12170 человек ежегодно.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4) </w:t>
            </w:r>
            <w:r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сохранение количества трансляций, проведенных в виртуальном концертном зале, в количестве 20 ежегодно.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Задача 4.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Сохранение и развитие экспозиционно-выставочной деятельности муниципального музея: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1)  увеличение количества представленных (во всех формах) зрителю музейных предметов основного и вспомогательного фондов до 2920 единиц к 2031 году. 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2) увеличение количества посетителей музея до 3530 человек к 2031 году.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3) сохранение количества выездных выставок - 12 единиц ежегодно.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Задача 5.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Совершенствование организационного, методического, экономического механизмов функционирования сферы культуры района: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1) уменьшение количества обоснованных замечаний со стороны контролирующих, надзорных органов и вышестоящих организаций до 1 единицы ежегодно.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2) уменьшение количества поданных жалоб на качество оказываемых услуг в сфере культуры до 1 единицы ежегодно.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u w:val="single"/>
              </w:rPr>
              <w:t>Задача 6.</w:t>
            </w: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Организация переподготовки и повышения квалификации работников учреждений культуры:</w:t>
            </w:r>
          </w:p>
          <w:p>
            <w:pPr>
              <w:pStyle w:val="aa"/>
              <w:numPr>
                <w:ilvl w:val="0"/>
                <w:numId w:val="8"/>
              </w:numPr>
              <w:spacing w:after="0" w:line="240" w:lineRule="auto"/>
              <w:ind w:left="0" w:firstLine="98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увеличение количества работников, прошедших переподготовку и повышение квалификации до 10 человек к 2031 году.</w:t>
            </w:r>
          </w:p>
        </w:tc>
      </w:tr>
    </w:tbl>
    <w:p>
      <w:pPr>
        <w:tabs>
          <w:tab w:val="left" w:pos="0"/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4"/>
        </w:rPr>
      </w:pPr>
    </w:p>
    <w:p>
      <w:pPr>
        <w:tabs>
          <w:tab w:val="left" w:pos="0"/>
          <w:tab w:val="left" w:pos="851"/>
        </w:tabs>
        <w:spacing w:after="0" w:line="240" w:lineRule="auto"/>
        <w:rPr>
          <w:rFonts w:ascii="Times New Roman" w:eastAsia="Calibri" w:hAnsi="Times New Roman" w:cs="Times New Roman"/>
          <w:b/>
          <w:sz w:val="26"/>
          <w:szCs w:val="2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Раздел 1. Характеристика текущего состояния сферы культуры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6"/>
          <w:szCs w:val="24"/>
        </w:rPr>
      </w:pPr>
    </w:p>
    <w:p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4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>Сфера культуры является важным гуманитарным ресурсом социально-экономического развития муниципального образования г. Бодайбо и района.</w:t>
      </w:r>
    </w:p>
    <w:p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Реализацию права жителей города Бодайбо и района на участие в культурной жизни и пользование учреждениями культуры, на доступ к культурным ценностям обеспечивает сеть общедоступных муниципальных учреждений культуры, входящих в состав Управления культуры. </w:t>
      </w:r>
    </w:p>
    <w:p>
      <w:pPr>
        <w:pStyle w:val="formattext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На местном уровне вопросы муниципальной политики в сфере культуры закреплены за Управлением культуры. Полномочия Управления культуры определены Положением об управлении культуры администрации муниципального образования г. Бодайбо и района, утвержденным решением Думы г. Бодайбо и района </w:t>
      </w:r>
      <w:hyperlink r:id="rId6" w:anchor="64U0IK" w:history="1">
        <w:r>
          <w:rPr>
            <w:rStyle w:val="ad"/>
            <w:color w:val="auto"/>
            <w:sz w:val="26"/>
            <w:szCs w:val="26"/>
            <w:u w:val="none"/>
          </w:rPr>
          <w:t xml:space="preserve">от 09 декабря 2011 года </w:t>
        </w:r>
      </w:hyperlink>
      <w:r>
        <w:rPr>
          <w:rStyle w:val="ad"/>
          <w:color w:val="auto"/>
          <w:sz w:val="26"/>
          <w:szCs w:val="26"/>
          <w:u w:val="none"/>
        </w:rPr>
        <w:t>№ 37-па</w:t>
      </w:r>
      <w:r>
        <w:rPr>
          <w:sz w:val="26"/>
          <w:szCs w:val="26"/>
        </w:rPr>
        <w:t xml:space="preserve">. В ведомственном подчинении Управления культуры находятся 5 юридических лиц.  </w:t>
      </w:r>
    </w:p>
    <w:p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По состоянию на 01.12.2024: </w:t>
      </w:r>
    </w:p>
    <w:p>
      <w:pPr>
        <w:pStyle w:val="formattext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Услуги дополнительного образования детей в сфере культуры предоставляют 4 учреждения дополнительного образования- музыкальные школы в г. Бодайбо и в поселках </w:t>
      </w:r>
      <w:proofErr w:type="spellStart"/>
      <w:r>
        <w:rPr>
          <w:sz w:val="26"/>
          <w:szCs w:val="26"/>
        </w:rPr>
        <w:t>Мамакан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Балахнинский</w:t>
      </w:r>
      <w:proofErr w:type="spellEnd"/>
      <w:r>
        <w:rPr>
          <w:sz w:val="26"/>
          <w:szCs w:val="26"/>
        </w:rPr>
        <w:t xml:space="preserve">, Артемовский. Все музыкальные школы района входят в состав </w:t>
      </w:r>
      <w:r>
        <w:rPr>
          <w:rFonts w:eastAsia="Calibri"/>
          <w:sz w:val="26"/>
          <w:szCs w:val="26"/>
        </w:rPr>
        <w:t>Муниципального казенного образовательного учреждения дополнительного образования «Детская музыкальная школа г. Бодайбо и района» и осуществляют деятельность по обеспечению возможности получения детьми и подростками дополнительного образования в сфере культуры. В музыкальных школах района проходит обучение по следующим отделениям: народное (гитара, баян, аккордеон), фортепианное, театральное, вокальное. Ежегодно в музыкальных школах района обучается порядка 140 детей.</w:t>
      </w:r>
    </w:p>
    <w:p>
      <w:pPr>
        <w:pStyle w:val="formattext"/>
        <w:tabs>
          <w:tab w:val="left" w:pos="709"/>
          <w:tab w:val="left" w:pos="851"/>
        </w:tabs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Услуги по организации досуга населения предоставляет МКУ «КДЦ г. Бодайбо и района», в состав которого входят 4 клуба, 5 досуговых центров, городской парк культуры и кинотеатр. Ежегодно в учреждениях культуры клубного типа проходит более 500 мероприятий на платной основе, которые посещают более 15000 человек.  Более 55000 посещений культурно-массовых мероприятий на безвозмездной основе. На базе учреждений осуществляют свою деятельность 64 клубных формирования, которые посещают более 800 человек разных возрастных категорий. Это вокальные и театральные кружки, кружки по народно-прикладному творчеству. В досуговом центре п. Перевоз действует творческое объединение «</w:t>
      </w:r>
      <w:proofErr w:type="spellStart"/>
      <w:r>
        <w:rPr>
          <w:sz w:val="26"/>
          <w:szCs w:val="26"/>
        </w:rPr>
        <w:t>Сардаана</w:t>
      </w:r>
      <w:proofErr w:type="spellEnd"/>
      <w:r>
        <w:rPr>
          <w:sz w:val="26"/>
          <w:szCs w:val="26"/>
        </w:rPr>
        <w:t xml:space="preserve">», которое проводит большую. работу по сохранению культуры и самобытности эвенков, проживающих на территории </w:t>
      </w:r>
      <w:proofErr w:type="spellStart"/>
      <w:r>
        <w:rPr>
          <w:sz w:val="26"/>
          <w:szCs w:val="26"/>
        </w:rPr>
        <w:t>Жуинского</w:t>
      </w:r>
      <w:proofErr w:type="spellEnd"/>
      <w:r>
        <w:rPr>
          <w:sz w:val="26"/>
          <w:szCs w:val="26"/>
        </w:rPr>
        <w:t xml:space="preserve"> сельского поселения.</w:t>
      </w:r>
    </w:p>
    <w:p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В 2019 году в г. Бодайбо открылся кинотеатр «Витим», который ежегодно посещают более 10000 человек. Городской парк культуры стал одним из любимых мест горожан. В парке работают прокат детских автомобилей и батуты, установлены тренажеры, уличные шахматы. Приобретено мультимедийное оборудование для летнего кинотеатра. В 2024 году открылся танцевальный зал в Культурно-досуговом центре, который предлагает населению услуги по организации досуга.</w:t>
      </w:r>
    </w:p>
    <w:p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Библиотечное обслуживание населения осуществляет МКУК «ЦБС г. Бодайбо и района», в состав которого входят 8 библиотек. Совокупный библиотечный фонд составляет </w:t>
      </w:r>
      <w:r>
        <w:rPr>
          <w:sz w:val="26"/>
          <w:szCs w:val="26"/>
        </w:rPr>
        <w:lastRenderedPageBreak/>
        <w:t>более 18000 экземпляров. Количество зарегистрированных читателей-более 10000 человек. Все библиотеки района имеют доступ к телекоммуникационной сети «Интернет», на базе шести библиотек работают информационные центры. Более 9000 информационных справок предоставляют населению библиотекари района. В 2023 году, благодаря участию коллектива в проекте «Цифровая культура» национального проекта «Культура», на базе Центральной городской библиотеки им. Светланы Кузнецовой создан Виртуальный концертный зал.</w:t>
      </w:r>
    </w:p>
    <w:p>
      <w:pPr>
        <w:pStyle w:val="formattext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Музейное обслуживание населения осуществляет единственный в районе </w:t>
      </w:r>
      <w:proofErr w:type="spellStart"/>
      <w:r>
        <w:rPr>
          <w:sz w:val="26"/>
          <w:szCs w:val="26"/>
        </w:rPr>
        <w:t>Бодайбиский</w:t>
      </w:r>
      <w:proofErr w:type="spellEnd"/>
      <w:r>
        <w:rPr>
          <w:sz w:val="26"/>
          <w:szCs w:val="26"/>
        </w:rPr>
        <w:t xml:space="preserve"> городской краеведческий музей, который носит имя его основателя В.Ф. Верещагина. Музей предлагает посетителям четыре выставочных зала с постоянными экспозициями: исторический зал, военный зал, промышленный зал и зал природы. Регулярно вниманию жителей и гостей города музей предлагает временные и передвижные выставки различной тематики-  патриотическая направленность, памятные даты, авторские работы </w:t>
      </w:r>
      <w:proofErr w:type="spellStart"/>
      <w:r>
        <w:rPr>
          <w:sz w:val="26"/>
          <w:szCs w:val="26"/>
        </w:rPr>
        <w:t>бодайбинских</w:t>
      </w:r>
      <w:proofErr w:type="spellEnd"/>
      <w:r>
        <w:rPr>
          <w:sz w:val="26"/>
          <w:szCs w:val="26"/>
        </w:rPr>
        <w:t xml:space="preserve"> мастеров, комнатные растения и много другого. Большой популярностью у посетителей пользуются проводимые коллективом музея музейные занятия, </w:t>
      </w:r>
      <w:proofErr w:type="spellStart"/>
      <w:r>
        <w:rPr>
          <w:sz w:val="26"/>
          <w:szCs w:val="26"/>
        </w:rPr>
        <w:t>квесты</w:t>
      </w:r>
      <w:proofErr w:type="spellEnd"/>
      <w:r>
        <w:rPr>
          <w:sz w:val="26"/>
          <w:szCs w:val="26"/>
        </w:rPr>
        <w:t>, конкурсы и викторины.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КУК «Централизованная бухгалтерия» имеет в своей структуре 1 головное учреждение и 2 необособленных структурных подразделения, осуществляет работу по обеспечению бухгалтерского обслуживания финансово-хозяйственной деятельности, ведению организационного, юридического, кадрового сопровождения, административного и хозяйственного обеспечения деятельности всех учреждений.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Четыре юридических лица, подведомственных Управлению культуры, непосредственно оказывают услуги сферы культуры населению, в их состав входят 24 структурных подразделения. 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Сеть учреждений распределена по территории Бодайбинского района равномерно, и городское население и население поселков имеют равный доступ к получению услуг сферы культуры. 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Исключение составляют музыкальные школы. За последние годы в районе закрыты музыкальные школы в поселках Перевоз и Кропоткин. Дети и подростки вышеуказанных поселков не имеют возможности получения дополнительного образования сферы культуры. Данная ситуация сложилась из-за отсутствия педагогов дополнительного образования. 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отрасли культуры на территории муниципального образования г. Бодайбо и района трудится 186 человек основного персонала и 41 человек - внешние совместители.  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>Музыкальные школы занимаются музыкальным и художественно-эстетическим воспитанием юных жителей района. Работают музыкальное (народное отделение, отделения по классу фортепиано и по классу гитары), вокальное и театральное отделения. Благодаря стабильному педагогическому коллективу грамотно организован учебный процесс, что способствует творческому и интеллектуальному развитию детей, раскрытию их творческого потенциала, профориентации способных детей.  Высокие требования к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участию в образовательном процессе родителей и детей, нагрузка, которая ложится на юных музыкантов в связи с обучением в двух школах (общеобразовательной и музыкальной) - основные причины снижения контингента учащихся. Актуальной проблемой для музыкальных школ является нехватка и старение педагогических кадров. Несмотря на дефицит педагогических кадров, образовательный процесс проходит на достойном профессиональном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lastRenderedPageBreak/>
        <w:t xml:space="preserve">уровне. В школе также обучаются ребята с ограниченными возможностями здоровья, усилиями педагогов в коллективе учащихся создана доброжелательная атмосфера. Учащиеся принимают участие в конкурсах различных уровней, ежегодно получают Премию мэра г. Бодайбо и района за успехи в учебе и творческие достижения. 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Разнообразен спектр услуг учреждений по организации досуга населения: от развлекательных, игровых, детских программ, корпоративных мероприятий до массовых гуляний, посвященных различным календарным праздникам и датам.  Кроме этого, на базе учреждений созданы   клубные формирования и кружки для занятия индивидуальным и коллективным творчеством, работают оздоровительные и спортивные секции. Во всех учреждениях созданы комфортные условия для предоставления культурных услуг населению.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За последние годы глобальная реконструкция проведена в городском парке культуры и отдыха. Благодаря приложенным усилиям в городском парке проложены новые пешеходные дорожки, установлены уличные тренажеры, тематические фигуры, детские городки, столбы освещения, отремонтирован фонтан, организованы газоны и клумбы, посажены молодые деревья, оборудованы места отдыха. В настоящее время городской парк стал одним из любимых мест отдыха горожан и гостей города.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В 2019 году закуплено оборудование для организации кинопоказа, начал свою работу кинотеатр «Витим». В этом же году проведена реконструкция прилегающего к кинотеатру сквера.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Несмотря на создаваемые условия все сложнее привлекать жителей к участию в клубных формированиях и кружках, особенно подростков и молодежь. В сложившейся ситуации необходима корректировка основных направлений организации деятельности культурно-досуговых учреждений. 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Огромную работу проводит коллектив библиотечной системы района с целью приобщения молодого поколения к чтению. Для привлечения читателя библиотеками района внедряются новые формы работы: литературные гостиные и литературно-музыкальные вечера, библиотечные уроки, премьеры книг и презентации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книжно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-иллюстративных выставок, игры-путешествия. Важной составляющей работы библиотек является обслуживание людей с ограниченными возможностями здоровья.     С этой целью две библиотеки района оснащены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тифлофлешплеерами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для прослушивания «говорящих» книг слабовидящими людьми, три библиотеки оснащены пандусами. Сотрудники библиотек обслуживают и маломобильную группу населения, обслуживая ее вне стационарного абонемента - на дому, организована книговыдача для отдаленных участков золотодобывающих предприятий. 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Центральная городская библиотека им. Светланы Кузнецовой является методическим центром для муниципальных библиотек района. Она оказывает консультационную и практическую помощь, направленную на максимальное удовлетворение библиотеками информационных, образовательных, культурных потребностей населения, способствует развитию инновационного творчества библиотекарей и внедрению инноваций в практику. 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Традиционно популярными у населения стали мероприятия, проводимые в рамках акций «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Библионочь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» и «Ночь искусств», литературные чтения, краеведческие встречи. Коллективом библиотек проводится большая и неоценимая работа по патриотическому воспитанию детей и молодежи, пропаганде здорового образа жизни. Акция детской библиотеки «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Библиодворик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», проводимая в летний период, по праву является новаторской.</w:t>
      </w:r>
    </w:p>
    <w:p>
      <w:pPr>
        <w:spacing w:after="0" w:line="276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Коллективом Бодайбинского городского краеведческого музея ведется активная работа по сохранению и пополнению музейного фонда, организации выставочной деятельности, распространению краеведческих знаний. В музее действуют шесть залов для постоянных экспозиций, выставочный зал для тематических выставок к памятным датам и праздникам.  Более 2500 экземпляров основного и вспомогательного фондов музея ежегодно представляется посетителям. Популярными стали такие формы работы как, обзорные и тематические экскурсии для взрослых и детей, беседы и слайд-фильмы, успешно внедряется программа «Музей и дети» для дошкольников и учащихся начальных классов. Основными направлениями работы Бодайбинского городского краеведческого музея являются организация исследовательской, фондовой, экспозиционной, информационной и других форм деятельности. Успешно продолжается работа занесению музейных предметов в федеральный электронный каталог.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Бодайбинский городской краеведческий музей ведет активное сотрудничество с образовательными учреждениями города, проводит для них познавательные мероприятия различной тематики. Частыми гостями музея стали учащиеся дошкольных учреждений. Сотрудниками музея организовываются персональные и групповые выставки мастеров рукоделия. На протяжении последних лет коллектив музея активно участвует в акции «Лето. Занятость. Подросток.».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Cs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последние годы в сфере культуры отмечается тенденция к </w:t>
      </w:r>
      <w:r>
        <w:rPr>
          <w:rFonts w:ascii="Times New Roman" w:eastAsia="Calibri" w:hAnsi="Times New Roman" w:cs="Times New Roman"/>
          <w:iCs/>
          <w:sz w:val="26"/>
          <w:szCs w:val="26"/>
        </w:rPr>
        <w:t xml:space="preserve">уменьшению количества потребителей культурных услуг, вместе с тем растет спрос на услуги нового формата. Молодежь отдает предпочтение высокотехнологичным услугам мультимедиа, растет количество читателей электронных книг. 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rFonts w:eastAsia="Calibri"/>
          <w:sz w:val="26"/>
          <w:szCs w:val="26"/>
        </w:rPr>
        <w:t>Среди основных причин устойчивого снижения показателя посещаемости культурных мероприятий следует назвать и демографическую ситуацию в районе, ежегодный отток населения из района, невысокий уровень благосостояния основной массы жителей, разобщенность, безынициативность населения.</w:t>
      </w:r>
      <w:r>
        <w:rPr>
          <w:sz w:val="26"/>
          <w:szCs w:val="26"/>
        </w:rPr>
        <w:t xml:space="preserve"> 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Также негативно сказывается несоответствие имеющейся материально-технической базы учреждений культуры требованиям пользователей услуг. Темпы износа материальной базы значительно выше, чем возможность ее пополнения и восстановления. 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Кроме материально-технической базы учреждений, достаточно остро стоят вопросы: ассортимента и качества предоставляемых культурно-досуговых услуг; устаревания применяемых технологий и форм работы; несоответствия квалификации кадров, их профессиональных знаний и умений вызовам сегодняшнего дня.  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Часть муниципальных библиотек не обладает достаточной материально-технической базой, позволяющей эффективно удовлетворять информационные потребности различных категорий пользователей.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Объем средств, направляемых на комплектование библиотечных фондов ЦБС г. Бодайбо и района, не соответствует темпам их обновления и улучшения качественного состава. </w:t>
      </w:r>
    </w:p>
    <w:p>
      <w:pPr>
        <w:pStyle w:val="formattext"/>
        <w:shd w:val="clear" w:color="auto" w:fill="FFFFFF"/>
        <w:spacing w:before="0" w:beforeAutospacing="0" w:after="0" w:afterAutospacing="0" w:line="276" w:lineRule="auto"/>
        <w:ind w:firstLine="709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Бодайбинский городской краеведческий музей недостаточно оснащен современным высокотехнологичным оборудованием для внедрения интерактивных форм выставочной деятельности и проведения мероприятий.  Остро стоит нехватка выставочных площадей и площадей для хранения фондов.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Управление культуры совместно с Администрацией г. Бодайбо и района предпринимает все необходимые меры для привлечения посетителей в учреждения культуры- укрепление материально-технической базы учреждений, проведение текущих и капитальных ремонтов, повышение квалификации специалистов. Однако в последние годы, из-за сложившейся экономической ситуации, отсутствует возможность в проведении текущих ремонтов учреждений и улучшении их материальной базы. Более трех лет специалисты сферы культуры не проходили курсы повышения квалификации на базе образовательных учреждений областного центра.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Реализация Программы позволит в целом повысить качество услуг сферы культуры, комфортность их предоставления, доступность для всех категорий населения, удовлетворить потребность в духовно-нравственном развитии населения Бодайбинского района, способствовать профилактике асоциальных явлений в обществе. Для этого в Программе предусмотрено активное вовлечение населения района в систему эстетического образования, в культурно-досуговую и просветительскую деятельность, в развитие его творческого потенциала, организацию досуга.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основе Программы – положения, ориентированные на преемственность развития культурных традиций наряду с поддержкой многообразия культурной жизни, привлечение внимания населения к проблемам культуры с целью участия в культурной жизни района. Накопленный опыт и культурный потенциал района обуславливают необходимость системной модернизации отрасли и целевой поддержки ее развития с целью расширения спектра услуг, оказываемых учреждениями культуры, и повышения их качества.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Продолжается активная работа по сохранению и развитию целостной системы оказания культурных услуг населению, в частности: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сохранение на территории района сети музыкальных школ;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поддержка творческих коллективов и талантливых детей и молодежи;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развитие и совершенствование системы библиотечного обслуживания населения, комплектование и обеспечение сохранности библиотечных фондов;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создание условий для организации массового отдыха жителей района;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создание условий для эффективной работы городского музея.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Однако, несмотря на положительные моменты, сохраняется и ряд проблем, главными из которых являются: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недостаточное оснащение учреждений культуры современным информационным и технологическим оборудованием;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отсутствие крупных современных комплексов для проведения масштабных культурно-массовых и молодежных мероприятий, фестивалей и иных мероприятий;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дефицит в квалифицированных кадрах, обусловленный отсутствием притока молодежи. 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Программа призвана создать условия для сохранения культурного и духовного наследия, обеспечения максимальной доступности для широких слоев населения услуг в сфере культуры, а также для эффективного управления финансами в части обеспечения функционирования и развития данной сферы.</w:t>
      </w:r>
    </w:p>
    <w:p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Мероприятия, предусмотренные в Программе, позволят улучшить материально-технические базы учреждений культуры, обеспечить их бесперебойную работу, создать комфортные условия для пользователей услуг культуры. Несмотря на сложную демографиче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>скую ситуацию в районе, мероприятия Программы разработаны таким образом, что позволят сохранить сеть учреждений на территории района, достигнуть запланированные целевые показатели, повысить квалификацию основного персонала, внедрить в деятельность учреждений новые методы работы.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2020 году в полном объеме начал свою работу кинотеатр «Витим». Наличие в городе кинотеатра стало одним из положительных факторов, оказывающих влияние на создание комфортной среды проживания населения.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Учреждения культуры Бодайбинского района принимают активное участие в реализации мероприятий федеральных и региональных проектов.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 2021 года учреждения культуры участвуют в реализации федерального проекта «Творческие люди» национального проекта «Культура». На 01.12.2024 года более 30 работников из числа основного персонала прошли обучение на курсах повышения квалификации в ведущих ВУЗах страны в сфере культуры. Обучение специалистов проходит за счет средств федерального бюджета.</w:t>
      </w:r>
    </w:p>
    <w:p>
      <w:pPr>
        <w:pStyle w:val="a9"/>
        <w:spacing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2022 году Культурно-досуговый центр г. Бодайбо стал участником реализации 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мероприятия «Местный дом культуры» </w:t>
      </w:r>
      <w:r>
        <w:rPr>
          <w:rFonts w:ascii="Times New Roman" w:hAnsi="Times New Roman"/>
          <w:sz w:val="26"/>
          <w:szCs w:val="26"/>
        </w:rPr>
        <w:t xml:space="preserve">федерального проекта «Культура малой Родины» партии «Единая Россия». В рамках проекта для учреждений клубного типа был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приобретен </w:t>
      </w:r>
      <w:r>
        <w:rPr>
          <w:rFonts w:ascii="Times New Roman" w:hAnsi="Times New Roman"/>
          <w:sz w:val="26"/>
          <w:szCs w:val="26"/>
        </w:rPr>
        <w:t xml:space="preserve">автобус </w:t>
      </w:r>
      <w:proofErr w:type="spellStart"/>
      <w:r>
        <w:rPr>
          <w:rFonts w:ascii="Times New Roman" w:hAnsi="Times New Roman"/>
          <w:sz w:val="26"/>
          <w:szCs w:val="26"/>
        </w:rPr>
        <w:t>Mercedes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Benz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en-US"/>
        </w:rPr>
        <w:t>Sprinter</w:t>
      </w:r>
      <w:r>
        <w:rPr>
          <w:rFonts w:ascii="Times New Roman" w:hAnsi="Times New Roman"/>
          <w:sz w:val="26"/>
          <w:szCs w:val="26"/>
        </w:rPr>
        <w:t xml:space="preserve"> на 16 мест стоимостью 7785,0 тыс. руб., из которых 1907,4тыс. руб.- средства федерального бюджета, 3342,6 тыс. руб.- средства областного бюджета, 2535,0 тыс. руб. – средства бюджета муниципального образования г. Бодайбо и района.</w:t>
      </w:r>
    </w:p>
    <w:p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Автобус используется для организации гастрольных поездок творческих коллективов досуговых центров и клубов, что позволяет артистам выступать не только в своём населённом пункте, но и выезжать на гастроли в другие населенные пункты района. В летний период коллектив Бодайбинского городского краеведческого музея проводит автобусные экскурсии по историческим и памятным местам города.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2023 году Центральная городская библиотека им. Светланы Кузнецовой приняла участие в реализации мероприятия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регионального проекта «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Цифровизация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и форматирование информационного пространства в сфере культуры» федерального проекта «Цифровая культура» национального проекта «Культура». На средства федерального бюджета в размере 1000,0 тыс. руб. создан виртуальный концертный зал. Создание виртуального концертного зала позволит вывести на новый уровень продвижение академического музыкального и будет способствовать созданию равных возможностей доступа к классическому искусству на всей территории России, в том числе и для жителей Бодайбинского района.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 целью популяризации культурных мероприятий среди подростков и молодежи, министерством культуры Российской Федерации запущен федеральный проект Пушкинская карта. Данный проект позволяет приобрести молодым людям от 14 до 22 лет билеты в театры, досуговые центры, музеи, кинотеатры и другие учреждения на средства из федерального бюджета.  </w:t>
      </w:r>
    </w:p>
    <w:p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Учреждения культуры, подведомственные Управлению культуры администрации муниципального образования г. Бодайбо и района, также присоединились к федеральному проекту Пушкинская карта. На 01.12.2024 года 5 учреждений культуры подключились к вышеуказанному проекту. 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Р</w:t>
      </w:r>
      <w:r>
        <w:rPr>
          <w:rFonts w:ascii="Times New Roman" w:eastAsia="Calibri" w:hAnsi="Times New Roman" w:cs="Times New Roman"/>
          <w:b/>
          <w:sz w:val="26"/>
          <w:szCs w:val="26"/>
        </w:rPr>
        <w:t>аздел 2.  Цели и задачи Программы, целевые показатели Программы,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сроки реализации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Цель Программы: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Создание условий для комплексного развития культурного потенциала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>населения Бодайбинского района, повышения качества услуг, предоставляемых учреждениями культуры.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Для достижения поставленной цели необходимо решить ряд следующих задач: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1. </w:t>
      </w:r>
      <w:r>
        <w:rPr>
          <w:rFonts w:ascii="Times New Roman" w:eastAsia="Calibri" w:hAnsi="Times New Roman" w:cs="Times New Roman"/>
          <w:sz w:val="26"/>
          <w:szCs w:val="26"/>
        </w:rPr>
        <w:t>Сохранение дополнительного образования в сфере культуры, направленного на творческую самореализацию детей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2.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Создание условий для организации досуга и обеспечения жителей Бодайбинского района услугами учреждений культуры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3. </w:t>
      </w:r>
      <w:r>
        <w:rPr>
          <w:rFonts w:ascii="Times New Roman" w:eastAsia="Calibri" w:hAnsi="Times New Roman" w:cs="Times New Roman"/>
          <w:sz w:val="26"/>
          <w:szCs w:val="26"/>
        </w:rPr>
        <w:t>Организация библиотечного обслуживания населения, обеспечение сохранности и комплектования фондов муниципальных библиотек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;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4. Сохранение и развитие экспозиционно-выставочной деятельности муниципального музея; 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5. Совершенствование организационного, методического, экономического механизмов функционирования сферы культуры района;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6. Организация переподготовки и повышения квалификации работников учреждений культуры</w:t>
      </w:r>
      <w:r>
        <w:rPr>
          <w:rFonts w:ascii="Times New Roman" w:eastAsia="Calibri" w:hAnsi="Times New Roman" w:cs="Times New Roman"/>
          <w:sz w:val="26"/>
          <w:szCs w:val="26"/>
        </w:rPr>
        <w:t>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Целевые показатели Программы: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1. Сохранение дополнительного образования в сфере культуры, направленного на творческую самореализацию детей: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доля охвата детей Бодайбинского района эстетическим образованием относительно числу обучающихся в общеобразовательных школах с 1-го по 7 классы;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сохранение численности учащихся музыкальных школ;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доля обучающихся, принимающих участие в конкурсах, смотрах и других творческих мероприятиях от общего числа обучающихся в музыкальных школах.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2. Создание условий для организации досуга и обеспечения жителей Бодайбинского района услугами учреждений культуры: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количество действующих в течение года кружков и клубных формирований в культурно-досуговых учреждениях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участников кружков и клубных формирований;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культурно-массовых мероприятий на платной основе;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посетителей культурно-массовых мероприятий на платной основе;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количество зрителей кинопоказов на платной основе.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3. Организация библиотечного обслуживания населения, обеспечение сохранности и комплектования фондов муниципальных библиотек: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выданных экземпляров библиотечного фонда читателям;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-количество выполненных справок (консультаций) пользователям;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зарегистрированных пользователей муниципальных библиотек;</w:t>
      </w:r>
    </w:p>
    <w:p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-</w:t>
      </w:r>
      <w:r>
        <w:rPr>
          <w:rFonts w:ascii="Times New Roman" w:hAnsi="Times New Roman"/>
          <w:sz w:val="26"/>
          <w:szCs w:val="26"/>
          <w:shd w:val="clear" w:color="auto" w:fill="FFFFFF"/>
        </w:rPr>
        <w:t xml:space="preserve"> количество трансляций, проведенных в виртуальном концертном зале.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4. Сохранение и развитие экспозиционно-выставочной деятельности муниципального музея: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представленных (во всех формах) зрителю музейных предметов основного и вспомогательного фондов;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- количество посетителей музея;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выездных выставок.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5. Совершенствование организационного, методического, экономического механизмов функционирования сферы культуры района: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обоснованных замечаний со стороны контролирующих, надзорных органов и вышестоящих организаций;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жалоб, поданных на качество оказываемых услуг в сфере культуры.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6. Организация переподготовки и повышения квалификации работников учреждений культуры: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количество работников, прошедших переподготовку и повышение квалификации.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Программа реализуется с 2025 по 2030 годы в один этап.  Выполнение Программы осуществляется в соответствии с определенными в ней целью и задачами, которые реализуются через систему программных мероприятий.</w:t>
      </w:r>
    </w:p>
    <w:p>
      <w:pPr>
        <w:spacing w:after="0" w:line="276" w:lineRule="auto"/>
        <w:ind w:firstLine="708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Взаимосвязь целей, задач и целевых показателей Программы представлена в приложении № 1 к Программе.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Сведения о составе и значениях целевых показателей Программы отражены в приложении № 2.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                                   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Раздел 3. Обоснование выделения подпрограмм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Программа в своей структуре подпрограмм не имеет. Основные мероприятия Программы представлены в Приложении 3 к Программе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Раздел 4. Анализ рисков реализации Программы и описание мер управления рисками реализации Программы.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Риски реализации Программы можно отнести к внешним и внутренним.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Внешние риски: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 изменение федерального законодательства в части перераспределения полномочий между Российской Федерацией, субъектами Российской Федерации и органами местного самоуправления, а также изменение региональной нормативной базы;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сокращение бюджетного финансирования, выделенного на исполнение мероприятий Программы, что повлечет, исходя из новых бюджетных параметров, пересмотр стратегических задач Программы с точки зрения либо их сокращения, либо снижения ожидаемых эффектов от их решения;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отсутствие поставщиков товаров, исполнителей работ (услуг), определяемых на конкурсной основе в порядке, установленном федеральным и региональным законодательством и муниципальными нормативными правовыми актами;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удорожание стоимости товаров/работ (услуг);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ухудшение демографической ситуации.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Внутренние риски: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недостатки в управлении Программой по причине отсутствия должной координации действий участников Программы в ходе ее реализации.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Последствиями недостаточной координации могут стать: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отсутствие единого понимания участников Программы ее целей и задач, а также своей роли в выполнении Программы;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необъективное распределение ресурсов Программы и нерациональное, нецелевое их использование.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целью минимизации внешних и внутренних рисков Программы запланированы следующие мероприятия: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обеспечение постоянного мониторинга реализации Программы с применением целевых индикаторов;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постоянный контроль за ходом выполнения программных мероприятий и совершенствование управления реализацией Программы;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ежегодная корректировка по результатам исполнения Программы мероприятий и объемов финансирования;</w:t>
      </w:r>
    </w:p>
    <w:p>
      <w:pPr>
        <w:shd w:val="clear" w:color="auto" w:fill="FFFFFF"/>
        <w:spacing w:after="0" w:line="276" w:lineRule="auto"/>
        <w:ind w:right="150"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информационное, организационно-методическое и экспертно-аналитическое сопровождение проводимых мероприятий Программы.</w:t>
      </w:r>
    </w:p>
    <w:p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Реализацию Программы в целом и достижение утвержденных значений целевых индикаторов, формирование отчетности о ходе реализации Программы, проведение оценки эффективности реализации Программы обеспечивает ответственный исполнитель Программы.</w:t>
      </w:r>
    </w:p>
    <w:p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Раздел 5. Ресурсное обеспечение Программы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</w:rPr>
        <w:tab/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Объем финансирования Программы ежегодно уточняется при формировании бюджета муниципального образования г. Бодайбо и района на соответствующий финансовый год и плановый период, исходя из возможностей бюджета и затрат, необходимых на реализацию Программы.  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Программный метод позволит сконцентрировать финансовые ресурсы на приоритетных для развития учреждений культуры направлениях.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Ресурсное обеспечение реализации Программы за счет средств, предусмотренных в бюджете муниципального образования г. Бодайбо и района, представлено в табличном виде в приложении № 4 к Программе.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Прогнозная (справочная) оценка ресурсного обеспечения реализации Программы представлена в приложении № 5 к Программе.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Прогнозные показатели финансового обеспечения мероприятий Программы на 2025, 2026, 2027, 2028, 2029 и 2030 годы рассчитаны с применением коэффициента, учитывающего ежегодные индексации в следующих размерах: 2025 год-2,1%; 2026 год-3,0 %; 2027- 4,0%; 2028-4,0%; 2029- 4,0%; 2030 годы-4,0%.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</w:p>
    <w:p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Раздел 6. Ожидаемые конечные результаты реализации Программы</w:t>
      </w:r>
    </w:p>
    <w:p>
      <w:pPr>
        <w:shd w:val="clear" w:color="auto" w:fill="FFFFFF"/>
        <w:spacing w:after="0" w:line="276" w:lineRule="auto"/>
        <w:ind w:right="15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Программа определяет приоритеты развития культуры Бодайбинского района на ближайшие шесть лет и включает организационно-методические, управленческие, информационные мероприятия, направленные на развитие библиотечного и музейного дела, самодеятельного художественного творчества, организацию досуга и отдыха, сохранение дополнительных образовательных программ в сфере культуры, создание условий для предоставления качественных услуг, оказываемых учреждениями культуры населению. </w:t>
      </w:r>
    </w:p>
    <w:p>
      <w:pPr>
        <w:spacing w:after="0" w:line="276" w:lineRule="auto"/>
        <w:ind w:firstLine="708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Применение программного метода управления сферой культуры позволит достичь положительных количественных и качественных изменений в предоставлении культурных 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услуг населению, расширить спектр услуг, оказываемых учреждениями культуры, повысить качество экспозиционной работы в музеях и их посещаемость, увеличить возможности для эстетического развития детей и подростков и их самоопределения и обучения, увеличить охват населения библиотечными услугами, повысить читательский интерес у населения.  </w:t>
      </w:r>
    </w:p>
    <w:p>
      <w:pPr>
        <w:spacing w:after="0" w:line="276" w:lineRule="auto"/>
        <w:ind w:firstLine="708"/>
        <w:jc w:val="both"/>
        <w:outlineLvl w:val="0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Мероприятия Программы направлены на повышение престижа получения эстетического образования, вовлечение в культурную жизнь района разных социальных групп населения, обеспечение разнообразия предоставляемых услуг и повышение качества работы учреждений культуры.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результате реализации мероприятий Программы ожидается повышение качества и разнообразия услуг в области культуры, повышение эффективности деятельности и формирование позитивного имиджа сферы культуры Бодайбинского района в целом. </w:t>
      </w:r>
    </w:p>
    <w:p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Оценка хода исполнения мероприятий Программы основана на мониторинге ожидаемых непосредственных и конечных результатов Программы как сопоставление фактически достигнутых показателей с плановыми.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 основных мероприятий Программы представлен в приложении № 3.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t>Методика расчета целевых показателей «Развитие культуры Бодайбинского района» на 2025-2030 годы представлена в Приложении 6 к Программе.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t xml:space="preserve"> 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center"/>
        <w:outlineLvl w:val="0"/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lastRenderedPageBreak/>
        <w:t xml:space="preserve">                                                                                                        Приложение 1 к Программе</w:t>
      </w:r>
    </w:p>
    <w:p>
      <w:pPr>
        <w:spacing w:after="0" w:line="276" w:lineRule="auto"/>
        <w:jc w:val="right"/>
        <w:outlineLvl w:val="0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76" w:lineRule="auto"/>
        <w:jc w:val="center"/>
        <w:outlineLvl w:val="0"/>
        <w:rPr>
          <w:rFonts w:ascii="Times New Roman" w:eastAsia="Calibri" w:hAnsi="Times New Roman" w:cs="Times New Roman"/>
          <w:b/>
          <w:sz w:val="26"/>
          <w:szCs w:val="24"/>
        </w:rPr>
      </w:pPr>
      <w:r>
        <w:rPr>
          <w:rFonts w:ascii="Times New Roman" w:eastAsia="Calibri" w:hAnsi="Times New Roman" w:cs="Times New Roman"/>
          <w:b/>
          <w:sz w:val="26"/>
          <w:szCs w:val="24"/>
        </w:rPr>
        <w:t>Взаимосвязь целей, задач и целевых показателей Программы</w:t>
      </w:r>
    </w:p>
    <w:p>
      <w:pPr>
        <w:spacing w:after="0" w:line="276" w:lineRule="auto"/>
        <w:outlineLvl w:val="0"/>
        <w:rPr>
          <w:rFonts w:ascii="Times New Roman" w:eastAsia="Calibri" w:hAnsi="Times New Roman" w:cs="Times New Roman"/>
          <w:b/>
          <w:sz w:val="26"/>
          <w:szCs w:val="24"/>
        </w:rPr>
      </w:pPr>
    </w:p>
    <w:tbl>
      <w:tblPr>
        <w:tblpPr w:leftFromText="180" w:rightFromText="180" w:bottomFromText="160" w:vertAnchor="text" w:tblpX="-299" w:tblpY="51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2977"/>
        <w:gridCol w:w="2977"/>
        <w:gridCol w:w="3827"/>
      </w:tblGrid>
      <w:tr>
        <w:trPr>
          <w:trHeight w:val="28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Формулировка цели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Формулировка задач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целевых </w:t>
            </w:r>
          </w:p>
          <w:p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показателей</w:t>
            </w:r>
          </w:p>
        </w:tc>
      </w:tr>
      <w:tr>
        <w:trPr>
          <w:trHeight w:val="3195"/>
        </w:trPr>
        <w:tc>
          <w:tcPr>
            <w:tcW w:w="562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Создание условий для комплексного развития культурного потенциала населения Бодайбинского района, повышения качества услуг, предоставляемых учреждениями культуры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 1.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охвата детей Бодайбинского района эстетическим образованием относительно числу обучающихся в общеобразовательных школах с 1-го по 7 классы.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Сохранение численности учащихся музыкальных школ.</w:t>
            </w:r>
          </w:p>
          <w:p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Доля обучающихся, принимающих участие в конкурсах, смотрах и других творческих мероприятиях от общего числа обучающихся в музыкальных школах. </w:t>
            </w:r>
          </w:p>
        </w:tc>
      </w:tr>
      <w:tr>
        <w:trPr>
          <w:trHeight w:val="349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Задача 2. Создание условий для организации досуга и обеспечения жителей Бодайбинского района услугами учреждений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Количество действующих в течение года кружков и клубных формирований в культурно-досуговых учреждениях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Количество участников кружков и клубных формирований.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Количество культурно-массовых мероприятий на платной основе.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 Количество посетителей культурно-массовых мероприятий на платной основе.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5. Количество зрителей кинопоказов на платной основе.</w:t>
            </w:r>
          </w:p>
        </w:tc>
      </w:tr>
      <w:tr>
        <w:trPr>
          <w:trHeight w:val="149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Задача 3. 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Количество выданных экземпляров библиотечного фонда читателям.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Количество выполненных справок (консультаций) пользователям.</w:t>
            </w:r>
          </w:p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Количество зарегистрированных пользователей муниципальных библиотек.</w:t>
            </w:r>
          </w:p>
          <w:p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К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оличество трансляций, проведенных в виртуальном концертном зале.</w:t>
            </w:r>
          </w:p>
        </w:tc>
      </w:tr>
      <w:tr>
        <w:trPr>
          <w:trHeight w:val="1425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 4.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Сохранение и развитие экспозиционно-выставочной деятельности муниципального музея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Количество представленных (во всех формах) зрителю музейных предметов основного и вспомогательного фондов.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 Количество посетителей музея. 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 Количество выездных выставок.</w:t>
            </w:r>
          </w:p>
        </w:tc>
      </w:tr>
      <w:tr>
        <w:trPr>
          <w:trHeight w:val="844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Задача 5.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Совершенствование организационного, методического, экономического механизмов функционирования сферы культуры района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 Количество обоснованных замечаний со стороны контролирующих, надзорных органов и вышестоящих организаций.</w:t>
            </w:r>
          </w:p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 Количество жалоб, поданных на качество оказываемых услуг в сфере культуры.</w:t>
            </w:r>
          </w:p>
        </w:tc>
      </w:tr>
      <w:tr>
        <w:trPr>
          <w:trHeight w:val="1409"/>
        </w:trPr>
        <w:tc>
          <w:tcPr>
            <w:tcW w:w="56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hideMark/>
          </w:tcPr>
          <w:p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9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 6.</w:t>
            </w:r>
          </w:p>
          <w:p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переподготовки и повышения квалификации работников учреждений культуры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hideMark/>
          </w:tcPr>
          <w:p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1.Количество работников, прошедших переподготовку и повышение квалификации.</w:t>
            </w:r>
          </w:p>
        </w:tc>
      </w:tr>
    </w:tbl>
    <w:p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  <w:sectPr>
          <w:pgSz w:w="11906" w:h="16838"/>
          <w:pgMar w:top="567" w:right="566" w:bottom="567" w:left="1276" w:header="709" w:footer="709" w:gutter="0"/>
          <w:cols w:space="720"/>
        </w:sectPr>
      </w:pP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2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 Программе</w:t>
      </w:r>
    </w:p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hd w:val="clear" w:color="auto" w:fill="FFFFFF" w:themeFill="background1"/>
        <w:spacing w:after="20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bCs/>
          <w:sz w:val="26"/>
          <w:szCs w:val="26"/>
        </w:rPr>
        <w:t>Сведения о составе и значениях целевых показателей Программы</w:t>
      </w:r>
    </w:p>
    <w:tbl>
      <w:tblPr>
        <w:tblStyle w:val="ab"/>
        <w:tblW w:w="1573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9"/>
        <w:gridCol w:w="4394"/>
        <w:gridCol w:w="1134"/>
        <w:gridCol w:w="1276"/>
        <w:gridCol w:w="1134"/>
        <w:gridCol w:w="1276"/>
        <w:gridCol w:w="1134"/>
        <w:gridCol w:w="1275"/>
        <w:gridCol w:w="1134"/>
        <w:gridCol w:w="1134"/>
        <w:gridCol w:w="1134"/>
      </w:tblGrid>
      <w:tr>
        <w:trPr>
          <w:trHeight w:val="3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целевого </w:t>
            </w:r>
          </w:p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Значения целевых показателей</w:t>
            </w:r>
          </w:p>
        </w:tc>
      </w:tr>
      <w:tr>
        <w:trPr>
          <w:trHeight w:val="315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отчетный год</w:t>
            </w:r>
          </w:p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 год (оценка)2024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2030 год</w:t>
            </w:r>
          </w:p>
        </w:tc>
      </w:tr>
      <w:tr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>
        <w:trPr>
          <w:trHeight w:val="31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Программа «Развитие культуры Бодайбинского района» на 2025-2030 годы</w:t>
            </w:r>
          </w:p>
        </w:tc>
      </w:tr>
      <w:tr>
        <w:trPr>
          <w:trHeight w:val="31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Задача 1.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 Сохранение дополнительного образования в сфере культуры, направленного на творческую самореализацию детей</w:t>
            </w:r>
          </w:p>
        </w:tc>
      </w:tr>
      <w:tr>
        <w:trPr>
          <w:trHeight w:val="10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охвата детей Бодайбинского района эстетическим образованием относительно числу обучающихся в общеобразовательных школах с 1-го по 7 классы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>
        <w:trPr>
          <w:trHeight w:val="5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численности учащихся музыкальных школ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>
        <w:trPr>
          <w:trHeight w:val="6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обучающихся, принимающих участие в конкурсах, смотрах и других творческих мероприятиях от общего числа обучающихся в музыкальных школах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1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Задача 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Создание условий для организации досуга и обеспечения жителей Бодайбинского района услугами учреждений культуры</w:t>
            </w:r>
          </w:p>
        </w:tc>
      </w:tr>
      <w:tr>
        <w:trPr>
          <w:trHeight w:val="4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количество действующих в течение года кружков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  клубных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формирований в культурно-досуговых учреждениях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>
        <w:trPr>
          <w:trHeight w:val="4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кружков и клубных формирований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825</w:t>
            </w:r>
          </w:p>
        </w:tc>
      </w:tr>
      <w:tr>
        <w:trPr>
          <w:trHeight w:val="4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культурно-массовых мероприятий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665</w:t>
            </w:r>
          </w:p>
        </w:tc>
      </w:tr>
      <w:tr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культурно-массовых мероприятий на платной основе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16000</w:t>
            </w:r>
          </w:p>
        </w:tc>
      </w:tr>
      <w:tr>
        <w:trPr>
          <w:trHeight w:val="4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зрителей кинопоказов на платной основе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10800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12000</w:t>
            </w:r>
          </w:p>
        </w:tc>
      </w:tr>
      <w:tr>
        <w:trPr>
          <w:trHeight w:val="537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Задача 3. </w:t>
            </w:r>
            <w:r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</w:tr>
      <w:tr>
        <w:trPr>
          <w:trHeight w:val="4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выданных экземпляров библиотечного фонда читателям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324000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327000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330600</w:t>
            </w:r>
          </w:p>
        </w:tc>
      </w:tr>
      <w:tr>
        <w:trPr>
          <w:trHeight w:val="28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выполненных справок </w:t>
            </w:r>
          </w:p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(консультаций) пользователям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9200</w:t>
            </w:r>
          </w:p>
        </w:tc>
      </w:tr>
      <w:tr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зарегистрированных пользователей муниципальных библиотек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12170</w:t>
            </w:r>
          </w:p>
        </w:tc>
      </w:tr>
      <w:tr>
        <w:trPr>
          <w:trHeight w:val="1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количество трансляций, проведенных в виртуальном концертном зале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hd w:val="clear" w:color="auto" w:fill="FFFFFF" w:themeFill="background1"/>
              <w:spacing w:line="252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>
            <w:pPr>
              <w:jc w:val="right"/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>
        <w:trPr>
          <w:trHeight w:val="31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Задача 4. Сохранение и развитие экспозиционно-выставочной деятельности муниципального музея</w:t>
            </w:r>
          </w:p>
        </w:tc>
      </w:tr>
      <w:tr>
        <w:trPr>
          <w:trHeight w:val="4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представленных (во всех формах) зрителю музейных предметов основного и вспомогательного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2920</w:t>
            </w:r>
          </w:p>
        </w:tc>
      </w:tr>
      <w:tr>
        <w:trPr>
          <w:trHeight w:val="2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музея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3530</w:t>
            </w:r>
          </w:p>
        </w:tc>
      </w:tr>
      <w:tr>
        <w:trPr>
          <w:trHeight w:val="30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выездных выставок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>
        <w:trPr>
          <w:trHeight w:val="368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Задача 5. Совершенствование организационного, методического, экономического механизмов функционирования сферы </w:t>
            </w:r>
          </w:p>
          <w:p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культуры района</w:t>
            </w:r>
          </w:p>
        </w:tc>
      </w:tr>
      <w:tr>
        <w:trPr>
          <w:trHeight w:val="7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обоснованных замечаний со стороны контролирующих, надзорных органов и вышестоящих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5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жалоб, поданных на качество оказываемых услуг в сфере культуры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>
        <w:trPr>
          <w:trHeight w:val="18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Задача 6. Организация переподготовки и повышения квалификации работников учреждений культуры</w:t>
            </w:r>
          </w:p>
        </w:tc>
      </w:tr>
      <w:tr>
        <w:trPr>
          <w:trHeight w:val="5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работников, прошедших переподготовку и повышение квалификации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hd w:val="clear" w:color="auto" w:fill="FFFFFF" w:themeFill="background1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hd w:val="clear" w:color="auto" w:fill="FFFFFF" w:themeFill="background1"/>
              <w:spacing w:line="252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>
      <w:pPr>
        <w:shd w:val="clear" w:color="auto" w:fill="FFFFFF" w:themeFill="background1"/>
        <w:jc w:val="center"/>
        <w:rPr>
          <w:rFonts w:ascii="Times New Roman" w:hAnsi="Times New Roman" w:cs="Times New Roman"/>
          <w:sz w:val="24"/>
          <w:szCs w:val="24"/>
        </w:rPr>
        <w:sectPr>
          <w:pgSz w:w="16838" w:h="11906" w:orient="landscape"/>
          <w:pgMar w:top="709" w:right="567" w:bottom="425" w:left="567" w:header="709" w:footer="709" w:gutter="0"/>
          <w:cols w:space="720"/>
        </w:sect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3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к Программе</w:t>
      </w: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Перечень основных мероприятий Программы</w:t>
      </w:r>
    </w:p>
    <w:p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b"/>
        <w:tblW w:w="10665" w:type="dxa"/>
        <w:tblInd w:w="102" w:type="dxa"/>
        <w:tblLayout w:type="fixed"/>
        <w:tblLook w:val="04A0" w:firstRow="1" w:lastRow="0" w:firstColumn="1" w:lastColumn="0" w:noHBand="0" w:noVBand="1"/>
      </w:tblPr>
      <w:tblGrid>
        <w:gridCol w:w="561"/>
        <w:gridCol w:w="1832"/>
        <w:gridCol w:w="1349"/>
        <w:gridCol w:w="1338"/>
        <w:gridCol w:w="1358"/>
        <w:gridCol w:w="2207"/>
        <w:gridCol w:w="2020"/>
      </w:tblGrid>
      <w:tr>
        <w:trPr>
          <w:trHeight w:val="34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Наименова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Ответственный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исполни-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тель</w:t>
            </w:r>
            <w:proofErr w:type="spellEnd"/>
            <w:proofErr w:type="gramEnd"/>
          </w:p>
        </w:tc>
        <w:tc>
          <w:tcPr>
            <w:tcW w:w="2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Ожидаемый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конечный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результат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Программы,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основного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Целевые показатели Программы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(подпрограммы), на достижение которых оказывается влияние</w:t>
            </w:r>
          </w:p>
        </w:tc>
      </w:tr>
      <w:tr>
        <w:trPr>
          <w:trHeight w:val="1530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начала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реализа-ции</w:t>
            </w:r>
            <w:proofErr w:type="spellEnd"/>
            <w:proofErr w:type="gramEnd"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оконча-ния</w:t>
            </w:r>
            <w:proofErr w:type="spellEnd"/>
            <w:proofErr w:type="gramEnd"/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реализа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2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>
        <w:tc>
          <w:tcPr>
            <w:tcW w:w="106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Программа "Развитие культуры Бодайбинского района" на 2025-2030 годы</w:t>
            </w:r>
          </w:p>
        </w:tc>
      </w:tr>
      <w:tr>
        <w:trPr>
          <w:trHeight w:val="420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3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134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доли охвата детей Бодайбинского района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эстетическим образованием относительно числу обучающихся в общеобразовательных школах с 1 по 7 классы в объеме 0 % ежегодно</w:t>
            </w:r>
          </w:p>
        </w:tc>
        <w:tc>
          <w:tcPr>
            <w:tcW w:w="2020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охвата детей Бодайбинского района эстетическим образованием относительно числу обучающихся в общеобразовательных школах с 1 по 7 классы   </w:t>
            </w:r>
          </w:p>
        </w:tc>
      </w:tr>
      <w:tr>
        <w:trPr>
          <w:trHeight w:val="61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численности учащихся музыкальных школ от общего количества обучающихся в музыкальных школах в объеме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90 % ежегодно                                  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Сохранение численности учащихся музыкальных школ                                            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>
          <w:trHeight w:val="60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доли обучающихся, принимающих участие в конкурсах, смотрах и других творческих мероприятиях от общего числа обучающихся в музыкальных школах до 100%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обучающихся, принимающих участие в конкурсах, смотрах и других творческих мероприятиях от общего числа обучающихся в музыкальных школах       </w:t>
            </w:r>
          </w:p>
        </w:tc>
      </w:tr>
      <w:tr>
        <w:trPr>
          <w:trHeight w:val="978"/>
        </w:trPr>
        <w:tc>
          <w:tcPr>
            <w:tcW w:w="5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Создание условий для организации культурно-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досуговой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деятельности населения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количества действующих в течение года кружков и клубных формирований в культурно-досуговых учреждениях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количестве 64 единицы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кружков и клубных формирований</w:t>
            </w:r>
          </w:p>
        </w:tc>
      </w:tr>
      <w:tr>
        <w:trPr>
          <w:trHeight w:val="18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Сохранение участников кружков и клубных формирований в количестве 825 человек ежегодно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кружков и клубных формирований</w:t>
            </w:r>
          </w:p>
        </w:tc>
      </w:tr>
      <w:tr>
        <w:trPr>
          <w:trHeight w:val="285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культурно-массовых мероприятий на платной основе до 665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культурно-массовых мероприятий на платной основе </w:t>
            </w:r>
          </w:p>
        </w:tc>
      </w:tr>
      <w:tr>
        <w:trPr>
          <w:trHeight w:val="15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посещений культурно-массовых мероприятий на платной основе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 16000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культурно-массовых мероприятий на платной основе</w:t>
            </w:r>
          </w:p>
        </w:tc>
      </w:tr>
      <w:tr>
        <w:trPr>
          <w:trHeight w:val="270"/>
        </w:trPr>
        <w:tc>
          <w:tcPr>
            <w:tcW w:w="5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зрителей кинопоказов на платной основе до 12000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зрителей кинопоказов на платной основе</w:t>
            </w:r>
          </w:p>
        </w:tc>
      </w:tr>
      <w:tr>
        <w:trPr>
          <w:trHeight w:val="40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выданных экземпляров библиотечного фонда читателям до 330600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выданных экземпляров библиотечного фонда читателям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1605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выполненных справок (консультаций) пользователям до 9200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выполненных справок (консультаций) пользователям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1230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Сохранение количества зарегистрированных пользователей муниципальных библиотек в количестве 12170 человек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 количества зарегистрированных пользователей </w:t>
            </w:r>
          </w:p>
        </w:tc>
      </w:tr>
      <w:tr>
        <w:trPr>
          <w:trHeight w:val="1230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количества трансляций, проведенных в виртуальном концертном зале, в количестве 20 единиц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трансляций, проведенных в виртуальном концертном зале</w:t>
            </w:r>
          </w:p>
        </w:tc>
      </w:tr>
      <w:tr>
        <w:trPr>
          <w:trHeight w:val="375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Обеспечение сохранности и доступности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населению музейных фондов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Увеличение количества представленных (во всех формах) зрителю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музейных предметов основного и вспомогательного фондов до 2920 единиц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Количество представленных (во всех формах)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зрителю музейных предметов основного и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вспомогательно-го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фондов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735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посетителей музея до 3530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музея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525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Сохранение количества выездных выставок в количестве 12 единиц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выездных выставок</w:t>
            </w:r>
          </w:p>
        </w:tc>
      </w:tr>
      <w:tr>
        <w:trPr>
          <w:trHeight w:val="2442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реализации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Уменьшение количества обоснованных замечаний со стороны контролирующих, надзорных органов и вышестоящих организаций до 1 единицы ежегодно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обоснованных замечаний со стороны контролирующих, надзорных органов и вышестоящих организаций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915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32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58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Уменьшение количества поданных жалоб на качество оказываемых услуг в сфере культуры до 1 единицы ежегодно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жалоб, поданных на качество оказываемых услуг в сфере культуры</w:t>
            </w:r>
          </w:p>
        </w:tc>
      </w:tr>
      <w:t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Переподготов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повыше-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квалифи-кации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Управле-ние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культуры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01.01.2025</w:t>
            </w:r>
          </w:p>
        </w:tc>
        <w:tc>
          <w:tcPr>
            <w:tcW w:w="135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31.12.2030 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количества работников, прошедших переподготовку и повышение квалификации до 10 человек к 2031 году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работников, прошедших переподготовку и повышение квалификации.</w:t>
            </w:r>
          </w:p>
        </w:tc>
      </w:tr>
    </w:tbl>
    <w:p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4"/>
        </w:rPr>
      </w:pPr>
    </w:p>
    <w:p>
      <w:pPr>
        <w:tabs>
          <w:tab w:val="left" w:pos="4245"/>
        </w:tabs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tab/>
      </w:r>
    </w:p>
    <w:p>
      <w:pPr>
        <w:tabs>
          <w:tab w:val="left" w:pos="4245"/>
        </w:tabs>
        <w:rPr>
          <w:rFonts w:ascii="Times New Roman" w:eastAsia="Calibri" w:hAnsi="Times New Roman" w:cs="Times New Roman"/>
          <w:sz w:val="26"/>
          <w:szCs w:val="24"/>
        </w:rPr>
        <w:sectPr>
          <w:pgSz w:w="11906" w:h="16838"/>
          <w:pgMar w:top="567" w:right="425" w:bottom="567" w:left="709" w:header="709" w:footer="709" w:gutter="0"/>
          <w:cols w:space="720"/>
        </w:sectPr>
      </w:pP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4"/>
        </w:rPr>
      </w:pPr>
      <w:r>
        <w:rPr>
          <w:rFonts w:ascii="Times New Roman" w:eastAsia="Calibri" w:hAnsi="Times New Roman" w:cs="Times New Roman"/>
          <w:sz w:val="26"/>
          <w:szCs w:val="24"/>
        </w:rPr>
        <w:lastRenderedPageBreak/>
        <w:t>Приложение 4 к Программе</w:t>
      </w: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4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Ресурсное обеспечение реализации Программы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за счет средств, предусмотренных в бюджете муниципального образования г. Бодайбо и района</w:t>
      </w: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4"/>
        </w:rPr>
      </w:pPr>
    </w:p>
    <w:tbl>
      <w:tblPr>
        <w:tblStyle w:val="ab"/>
        <w:tblW w:w="15309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2835"/>
        <w:gridCol w:w="2694"/>
        <w:gridCol w:w="1275"/>
        <w:gridCol w:w="1276"/>
        <w:gridCol w:w="1276"/>
        <w:gridCol w:w="1276"/>
        <w:gridCol w:w="1275"/>
        <w:gridCol w:w="1276"/>
        <w:gridCol w:w="1418"/>
      </w:tblGrid>
      <w:tr>
        <w:trPr>
          <w:trHeight w:val="965"/>
        </w:trPr>
        <w:tc>
          <w:tcPr>
            <w:tcW w:w="708" w:type="dxa"/>
            <w:vMerge w:val="restart"/>
            <w:tcBorders>
              <w:bottom w:val="single" w:sz="4" w:space="0" w:color="auto"/>
            </w:tcBorders>
            <w:noWrap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п\п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bottom w:val="single" w:sz="4" w:space="0" w:color="auto"/>
            </w:tcBorders>
            <w:hideMark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Программы,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мероприятия, мероприятия</w:t>
            </w:r>
          </w:p>
        </w:tc>
        <w:tc>
          <w:tcPr>
            <w:tcW w:w="2694" w:type="dxa"/>
            <w:vMerge w:val="restart"/>
            <w:tcBorders>
              <w:bottom w:val="single" w:sz="4" w:space="0" w:color="auto"/>
            </w:tcBorders>
            <w:hideMark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участники, исполнители мероприятий</w:t>
            </w:r>
          </w:p>
        </w:tc>
        <w:tc>
          <w:tcPr>
            <w:tcW w:w="9072" w:type="dxa"/>
            <w:gridSpan w:val="7"/>
            <w:tcBorders>
              <w:bottom w:val="single" w:sz="4" w:space="0" w:color="auto"/>
            </w:tcBorders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(тыс. руб.), годы</w:t>
            </w:r>
          </w:p>
        </w:tc>
      </w:tr>
      <w:tr>
        <w:trPr>
          <w:trHeight w:val="630"/>
        </w:trPr>
        <w:tc>
          <w:tcPr>
            <w:tcW w:w="708" w:type="dxa"/>
            <w:vMerge/>
            <w:noWrap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2025 год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2026 год</w:t>
            </w:r>
          </w:p>
        </w:tc>
        <w:tc>
          <w:tcPr>
            <w:tcW w:w="1276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2028 год</w:t>
            </w:r>
          </w:p>
        </w:tc>
        <w:tc>
          <w:tcPr>
            <w:tcW w:w="1275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2029 год</w:t>
            </w:r>
          </w:p>
        </w:tc>
        <w:tc>
          <w:tcPr>
            <w:tcW w:w="1276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2030 год</w:t>
            </w:r>
          </w:p>
        </w:tc>
        <w:tc>
          <w:tcPr>
            <w:tcW w:w="1418" w:type="dxa"/>
            <w:hideMark/>
          </w:tcPr>
          <w:p>
            <w:pPr>
              <w:pStyle w:val="a9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</w:tr>
      <w:tr>
        <w:trPr>
          <w:trHeight w:val="31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694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shd w:val="clear" w:color="auto" w:fill="auto"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>
        <w:trPr>
          <w:trHeight w:val="315"/>
        </w:trPr>
        <w:tc>
          <w:tcPr>
            <w:tcW w:w="708" w:type="dxa"/>
            <w:vMerge w:val="restart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2835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"Развитие культуры Бодайбинского района" на 2025-2030 годы</w:t>
            </w:r>
          </w:p>
        </w:tc>
        <w:tc>
          <w:tcPr>
            <w:tcW w:w="2694" w:type="dxa"/>
            <w:shd w:val="clear" w:color="auto" w:fill="auto"/>
            <w:noWrap/>
            <w:hideMark/>
          </w:tcPr>
          <w:p>
            <w:pPr>
              <w:spacing w:after="16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всего в том числе: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346 564,8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430 003,0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411 492,0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423 278,0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417 484,6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434 098,8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2 462 921,2</w:t>
            </w:r>
          </w:p>
        </w:tc>
      </w:tr>
      <w:tr>
        <w:trPr>
          <w:trHeight w:val="315"/>
        </w:trPr>
        <w:tc>
          <w:tcPr>
            <w:tcW w:w="708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Ответственный </w:t>
            </w:r>
          </w:p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исполнитель-</w:t>
            </w:r>
          </w:p>
          <w:p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346 564,8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430 003,0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411 492,0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423 278,0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417 484,6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434 098,8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2 462 921,2</w:t>
            </w:r>
          </w:p>
        </w:tc>
      </w:tr>
      <w:tr>
        <w:trPr>
          <w:trHeight w:val="630"/>
        </w:trPr>
        <w:tc>
          <w:tcPr>
            <w:tcW w:w="708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ДО "ДМШ                               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47 158,1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51 203,7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49 985,4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51 924,5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51 871,3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53 941,7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306 084,7</w:t>
            </w:r>
          </w:p>
        </w:tc>
      </w:tr>
      <w:tr>
        <w:trPr>
          <w:trHeight w:val="630"/>
        </w:trPr>
        <w:tc>
          <w:tcPr>
            <w:tcW w:w="708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"КДЦ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112 301,1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154 845,6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133 598,2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136 352,5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131 442,7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136 674,3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805 214,4</w:t>
            </w:r>
          </w:p>
        </w:tc>
      </w:tr>
      <w:tr>
        <w:trPr>
          <w:trHeight w:val="416"/>
        </w:trPr>
        <w:tc>
          <w:tcPr>
            <w:tcW w:w="708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"ЦБС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54 921,5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68 760,9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73 093,1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75 234,9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70 387,5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73 156,3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415 554,2</w:t>
            </w:r>
          </w:p>
        </w:tc>
      </w:tr>
      <w:tr>
        <w:trPr>
          <w:trHeight w:val="630"/>
        </w:trPr>
        <w:tc>
          <w:tcPr>
            <w:tcW w:w="708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>Бодайбинский городской краеведческий музей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17 221,9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21 282,0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21 544,7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21 691,3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20 187,8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20 989,8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122 917,5</w:t>
            </w:r>
          </w:p>
        </w:tc>
      </w:tr>
      <w:tr>
        <w:trPr>
          <w:trHeight w:val="315"/>
        </w:trPr>
        <w:tc>
          <w:tcPr>
            <w:tcW w:w="708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5 655,2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6 239,6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6 526,2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6 771,4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7 041,7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7 322,8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39 556,9</w:t>
            </w:r>
          </w:p>
        </w:tc>
      </w:tr>
      <w:tr>
        <w:trPr>
          <w:trHeight w:val="630"/>
        </w:trPr>
        <w:tc>
          <w:tcPr>
            <w:tcW w:w="708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Участник программы: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МКУК "Централизованная бухгалтерия"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109 307,0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127 671,2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126 744,4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131 303,4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136 553,6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142 013,9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773 593,5</w:t>
            </w:r>
          </w:p>
        </w:tc>
      </w:tr>
      <w:tr>
        <w:trPr>
          <w:trHeight w:val="94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Сохранение дополнительного образования в сфере культуры, направленного на творческую самореализацию детей</w:t>
            </w:r>
          </w:p>
        </w:tc>
        <w:tc>
          <w:tcPr>
            <w:tcW w:w="2694" w:type="dxa"/>
            <w:vMerge w:val="restart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47 158,1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51 203,7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49 979,8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51 918,9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51 865,7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53 936,1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306 062,3</w:t>
            </w:r>
          </w:p>
        </w:tc>
      </w:tr>
      <w:tr>
        <w:trPr>
          <w:trHeight w:val="630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694" w:type="dxa"/>
            <w:vMerge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47 092,3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51 096,4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49 872,5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51 811,6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51 758,4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53 828,8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305 460,0</w:t>
            </w:r>
          </w:p>
        </w:tc>
      </w:tr>
      <w:tr>
        <w:trPr>
          <w:trHeight w:val="794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694" w:type="dxa"/>
            <w:vMerge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429,5</w:t>
            </w:r>
          </w:p>
        </w:tc>
      </w:tr>
      <w:tr>
        <w:trPr>
          <w:trHeight w:val="480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Выплата премии мэра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одаренным детям</w:t>
            </w:r>
          </w:p>
        </w:tc>
        <w:tc>
          <w:tcPr>
            <w:tcW w:w="2694" w:type="dxa"/>
            <w:vMerge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172,8</w:t>
            </w:r>
          </w:p>
        </w:tc>
      </w:tr>
      <w:tr>
        <w:trPr>
          <w:trHeight w:val="561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условий для организации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культурно-досуговой деятельности населения</w:t>
            </w:r>
          </w:p>
        </w:tc>
        <w:tc>
          <w:tcPr>
            <w:tcW w:w="2694" w:type="dxa"/>
            <w:shd w:val="clear" w:color="auto" w:fill="auto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112 311,0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154 911,2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133 635,8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136 390,1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131 482,9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136 717,2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805 448,2</w:t>
            </w:r>
          </w:p>
        </w:tc>
      </w:tr>
      <w:tr>
        <w:trPr>
          <w:trHeight w:val="315"/>
        </w:trPr>
        <w:tc>
          <w:tcPr>
            <w:tcW w:w="708" w:type="dxa"/>
            <w:vMerge w:val="restart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2835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694" w:type="dxa"/>
            <w:noWrap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102 020,5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138 552,1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122 066,5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124 740,8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119 392,6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124168,3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730 940,8</w:t>
            </w:r>
          </w:p>
        </w:tc>
      </w:tr>
      <w:tr>
        <w:trPr>
          <w:trHeight w:val="630"/>
        </w:trPr>
        <w:tc>
          <w:tcPr>
            <w:tcW w:w="708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Участники: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102 010,6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138 486,5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122 000,9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124 675,2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119 324,4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124 097,4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730 595,0</w:t>
            </w:r>
          </w:p>
        </w:tc>
      </w:tr>
      <w:tr>
        <w:trPr>
          <w:trHeight w:val="315"/>
        </w:trPr>
        <w:tc>
          <w:tcPr>
            <w:tcW w:w="708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-Управление культуры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9,9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65,6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65,6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345,8</w:t>
            </w:r>
          </w:p>
        </w:tc>
      </w:tr>
      <w:tr>
        <w:trPr>
          <w:trHeight w:val="31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694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Участник: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1 566,9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566,9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4 334,5</w:t>
            </w:r>
          </w:p>
        </w:tc>
      </w:tr>
      <w:tr>
        <w:trPr>
          <w:trHeight w:val="31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Выплата премии мэра г. Бодайбо и района одаренным детям</w:t>
            </w:r>
          </w:p>
        </w:tc>
        <w:tc>
          <w:tcPr>
            <w:tcW w:w="2694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316,2</w:t>
            </w:r>
          </w:p>
        </w:tc>
      </w:tr>
      <w:tr>
        <w:trPr>
          <w:trHeight w:val="31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деятельности городского парка культуры</w:t>
            </w:r>
          </w:p>
        </w:tc>
        <w:tc>
          <w:tcPr>
            <w:tcW w:w="2694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5 565,3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6 340,4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6 845,6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6 846,4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7 120,3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7 405,1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40 123,1</w:t>
            </w:r>
          </w:p>
        </w:tc>
      </w:tr>
      <w:tr>
        <w:trPr>
          <w:trHeight w:val="31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деятельности кинотеатра "Витим"</w:t>
            </w:r>
          </w:p>
        </w:tc>
        <w:tc>
          <w:tcPr>
            <w:tcW w:w="2694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3 043,9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3 732,6</w:t>
            </w:r>
          </w:p>
        </w:tc>
        <w:tc>
          <w:tcPr>
            <w:tcW w:w="1276" w:type="dxa"/>
            <w:shd w:val="clear" w:color="auto" w:fill="auto"/>
            <w:noWrap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4 099,3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4 178,5</w:t>
            </w:r>
          </w:p>
        </w:tc>
        <w:tc>
          <w:tcPr>
            <w:tcW w:w="1275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4 345,6</w:t>
            </w:r>
          </w:p>
        </w:tc>
        <w:tc>
          <w:tcPr>
            <w:tcW w:w="1276" w:type="dxa"/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4 519,4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23 919,3</w:t>
            </w:r>
          </w:p>
        </w:tc>
      </w:tr>
      <w:tr>
        <w:trPr>
          <w:trHeight w:val="890"/>
        </w:trPr>
        <w:tc>
          <w:tcPr>
            <w:tcW w:w="708" w:type="dxa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Финансовая поддержка реализации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инициативных проектов </w:t>
            </w:r>
          </w:p>
        </w:tc>
        <w:tc>
          <w:tcPr>
            <w:tcW w:w="2694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1 152,6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4 661,7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5 814,3</w:t>
            </w:r>
          </w:p>
        </w:tc>
      </w:tr>
      <w:tr>
        <w:trPr>
          <w:trHeight w:val="94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694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54 921,5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68 760,9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73 081,9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75 223,7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70 376,3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73 145,1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415 509,4</w:t>
            </w:r>
          </w:p>
        </w:tc>
      </w:tr>
      <w:tr>
        <w:trPr>
          <w:trHeight w:val="630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694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МКУК "ЦБС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54 318,7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67 724,4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71 817,9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73 720,5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69 219,2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71 988,0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408 788,7</w:t>
            </w:r>
          </w:p>
        </w:tc>
      </w:tr>
      <w:tr>
        <w:trPr>
          <w:trHeight w:val="31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694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673,4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627,1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3431,8</w:t>
            </w:r>
          </w:p>
        </w:tc>
      </w:tr>
      <w:tr>
        <w:trPr>
          <w:trHeight w:val="31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Комплектование библиотечного фонда</w:t>
            </w:r>
          </w:p>
        </w:tc>
        <w:tc>
          <w:tcPr>
            <w:tcW w:w="2694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1 946,9</w:t>
            </w:r>
          </w:p>
        </w:tc>
      </w:tr>
      <w:tr>
        <w:trPr>
          <w:trHeight w:val="91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Мероприятия по модернизации библиотек в части комплектования книжных фондов библиотек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образования города Бодайбо и района</w:t>
            </w:r>
          </w:p>
        </w:tc>
        <w:tc>
          <w:tcPr>
            <w:tcW w:w="2694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252,8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333,1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346,1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1272,0</w:t>
            </w:r>
          </w:p>
        </w:tc>
      </w:tr>
      <w:tr>
        <w:trPr>
          <w:trHeight w:val="915"/>
        </w:trPr>
        <w:tc>
          <w:tcPr>
            <w:tcW w:w="708" w:type="dxa"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283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Финансовая поддержка реализации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инициативных проектов</w:t>
            </w:r>
          </w:p>
        </w:tc>
        <w:tc>
          <w:tcPr>
            <w:tcW w:w="2694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</w:tr>
      <w:tr>
        <w:trPr>
          <w:trHeight w:val="94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694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17 221,9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21 282,0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21 533,5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21 680,1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20 176,6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20 978,6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122 872,7</w:t>
            </w:r>
          </w:p>
        </w:tc>
      </w:tr>
      <w:tr>
        <w:trPr>
          <w:trHeight w:val="630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4.1.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694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- Бодайбинский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городской краеведческий музей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17 123,9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21 182,0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21 420,5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21 554,1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20 050,6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20 852,6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122 183,7</w:t>
            </w:r>
          </w:p>
        </w:tc>
      </w:tr>
      <w:tr>
        <w:trPr>
          <w:trHeight w:val="31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культурно-массовых мероприятий </w:t>
            </w:r>
          </w:p>
        </w:tc>
        <w:tc>
          <w:tcPr>
            <w:tcW w:w="2694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689,0</w:t>
            </w:r>
          </w:p>
        </w:tc>
      </w:tr>
      <w:tr>
        <w:trPr>
          <w:trHeight w:val="88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 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694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114 952,3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133 845,2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133 144,6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137 948,8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143 466,7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149 205,4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812 563,0</w:t>
            </w:r>
          </w:p>
        </w:tc>
      </w:tr>
      <w:tr>
        <w:trPr>
          <w:trHeight w:val="436"/>
        </w:trPr>
        <w:tc>
          <w:tcPr>
            <w:tcW w:w="708" w:type="dxa"/>
            <w:vMerge w:val="restart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5.1.</w:t>
            </w:r>
          </w:p>
        </w:tc>
        <w:tc>
          <w:tcPr>
            <w:tcW w:w="2835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функций органами местного самоуправления в сфере культуры</w:t>
            </w:r>
          </w:p>
        </w:tc>
        <w:tc>
          <w:tcPr>
            <w:tcW w:w="2694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Управление культуры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5 645,3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6174,0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6 447,6   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6 692,8   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6 960,5   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7 238,9   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39 159,1</w:t>
            </w:r>
          </w:p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436"/>
        </w:trPr>
        <w:tc>
          <w:tcPr>
            <w:tcW w:w="708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436"/>
        </w:trPr>
        <w:tc>
          <w:tcPr>
            <w:tcW w:w="708" w:type="dxa"/>
            <w:vMerge w:val="restart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5.2.</w:t>
            </w:r>
          </w:p>
        </w:tc>
        <w:tc>
          <w:tcPr>
            <w:tcW w:w="2835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 (организаций)</w:t>
            </w:r>
          </w:p>
        </w:tc>
        <w:tc>
          <w:tcPr>
            <w:tcW w:w="2694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Централи-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зованная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бухгалтерия"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109 307,0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127 671,2</w:t>
            </w:r>
          </w:p>
        </w:tc>
        <w:tc>
          <w:tcPr>
            <w:tcW w:w="1276" w:type="dxa"/>
            <w:vMerge w:val="restart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126 697,0</w:t>
            </w: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131 256,0</w:t>
            </w:r>
          </w:p>
        </w:tc>
        <w:tc>
          <w:tcPr>
            <w:tcW w:w="1275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136 506,2</w:t>
            </w:r>
          </w:p>
        </w:tc>
        <w:tc>
          <w:tcPr>
            <w:tcW w:w="1276" w:type="dxa"/>
            <w:vMerge w:val="restart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141 966,5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773 403,9</w:t>
            </w:r>
          </w:p>
        </w:tc>
      </w:tr>
      <w:tr>
        <w:trPr>
          <w:trHeight w:val="436"/>
        </w:trPr>
        <w:tc>
          <w:tcPr>
            <w:tcW w:w="708" w:type="dxa"/>
            <w:vMerge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>
            <w:pPr>
              <w:spacing w:after="160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rPr>
          <w:trHeight w:val="945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мероприятие. </w:t>
            </w: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</w:t>
            </w:r>
          </w:p>
        </w:tc>
        <w:tc>
          <w:tcPr>
            <w:tcW w:w="2694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465,6</w:t>
            </w:r>
          </w:p>
        </w:tc>
      </w:tr>
      <w:tr>
        <w:trPr>
          <w:trHeight w:val="562"/>
        </w:trPr>
        <w:tc>
          <w:tcPr>
            <w:tcW w:w="708" w:type="dxa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6.1.</w:t>
            </w:r>
          </w:p>
        </w:tc>
        <w:tc>
          <w:tcPr>
            <w:tcW w:w="2835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Переподготовка и повышение квалификации муниципальных служащих</w:t>
            </w:r>
          </w:p>
        </w:tc>
        <w:tc>
          <w:tcPr>
            <w:tcW w:w="2694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13,0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52,0</w:t>
            </w:r>
          </w:p>
        </w:tc>
      </w:tr>
      <w:tr>
        <w:trPr>
          <w:trHeight w:val="225"/>
        </w:trPr>
        <w:tc>
          <w:tcPr>
            <w:tcW w:w="708" w:type="dxa"/>
            <w:vMerge w:val="restart"/>
            <w:noWrap/>
            <w:hideMark/>
          </w:tcPr>
          <w:p>
            <w:pPr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6.2.</w:t>
            </w:r>
          </w:p>
        </w:tc>
        <w:tc>
          <w:tcPr>
            <w:tcW w:w="2835" w:type="dxa"/>
            <w:vMerge w:val="restart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Переподготовка и повышение квалификации </w:t>
            </w:r>
          </w:p>
        </w:tc>
        <w:tc>
          <w:tcPr>
            <w:tcW w:w="2694" w:type="dxa"/>
            <w:hideMark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Участники: 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413,6</w:t>
            </w:r>
          </w:p>
        </w:tc>
      </w:tr>
      <w:tr>
        <w:trPr>
          <w:trHeight w:val="684"/>
        </w:trPr>
        <w:tc>
          <w:tcPr>
            <w:tcW w:w="708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МКОУ ДО "ДМШ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5,6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22,4</w:t>
            </w:r>
          </w:p>
        </w:tc>
      </w:tr>
      <w:tr>
        <w:trPr>
          <w:trHeight w:val="690"/>
        </w:trPr>
        <w:tc>
          <w:tcPr>
            <w:tcW w:w="708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         </w:t>
            </w:r>
          </w:p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28,0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112,0</w:t>
            </w:r>
          </w:p>
        </w:tc>
      </w:tr>
      <w:tr>
        <w:trPr>
          <w:trHeight w:val="654"/>
        </w:trPr>
        <w:tc>
          <w:tcPr>
            <w:tcW w:w="708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"ЦБС                         г. Бодайбо и района";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44,8</w:t>
            </w:r>
          </w:p>
        </w:tc>
      </w:tr>
      <w:tr>
        <w:trPr>
          <w:trHeight w:val="645"/>
        </w:trPr>
        <w:tc>
          <w:tcPr>
            <w:tcW w:w="708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Бодайбинский городской краеведческий музей.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11,2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44,8</w:t>
            </w:r>
          </w:p>
        </w:tc>
      </w:tr>
      <w:tr>
        <w:trPr>
          <w:trHeight w:val="703"/>
        </w:trPr>
        <w:tc>
          <w:tcPr>
            <w:tcW w:w="708" w:type="dxa"/>
            <w:vMerge/>
            <w:noWrap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МКУК "Централизованная бухгалтерия"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275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276" w:type="dxa"/>
            <w:shd w:val="clear" w:color="auto" w:fill="auto"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47,4</w:t>
            </w:r>
          </w:p>
        </w:tc>
        <w:tc>
          <w:tcPr>
            <w:tcW w:w="1418" w:type="dxa"/>
            <w:shd w:val="clear" w:color="auto" w:fill="auto"/>
            <w:noWrap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189,6</w:t>
            </w:r>
          </w:p>
        </w:tc>
      </w:tr>
    </w:tbl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200" w:line="276" w:lineRule="auto"/>
        <w:rPr>
          <w:rFonts w:ascii="Times New Roman" w:eastAsia="Calibri" w:hAnsi="Times New Roman" w:cs="Times New Roman"/>
          <w:sz w:val="26"/>
          <w:szCs w:val="26"/>
        </w:rPr>
        <w:sectPr>
          <w:pgSz w:w="16838" w:h="11906" w:orient="landscape"/>
          <w:pgMar w:top="1276" w:right="567" w:bottom="851" w:left="425" w:header="709" w:footer="709" w:gutter="0"/>
          <w:cols w:space="708"/>
          <w:docGrid w:linePitch="360"/>
        </w:sectPr>
      </w:pP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5 к Программе</w:t>
      </w: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</w:p>
    <w:p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Прогнозная (справочная) оценка ресурсного</w:t>
      </w:r>
    </w:p>
    <w:p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обеспечения реализации Программы за счёт всех источников финансирования</w:t>
      </w:r>
    </w:p>
    <w:p>
      <w:pPr>
        <w:tabs>
          <w:tab w:val="left" w:pos="56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b"/>
        <w:tblW w:w="15450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1843"/>
        <w:gridCol w:w="2552"/>
        <w:gridCol w:w="2126"/>
        <w:gridCol w:w="1134"/>
        <w:gridCol w:w="1134"/>
        <w:gridCol w:w="1134"/>
        <w:gridCol w:w="1134"/>
        <w:gridCol w:w="1134"/>
        <w:gridCol w:w="1134"/>
        <w:gridCol w:w="1417"/>
      </w:tblGrid>
      <w:tr>
        <w:trPr>
          <w:trHeight w:val="129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п\п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Программы,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подпрограммы,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основного мероприятия,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участники, 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исполнители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мероприятий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финансирования</w:t>
            </w: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2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расходов (тыс. руб.), годы</w:t>
            </w:r>
          </w:p>
        </w:tc>
      </w:tr>
      <w:tr>
        <w:trPr>
          <w:trHeight w:val="31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2029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2030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</w:tr>
      <w:tr>
        <w:trPr>
          <w:trHeight w:val="3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>
        <w:trPr>
          <w:trHeight w:val="60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«Развитие культуры Бодайбинского района» на 2025-2030 годы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исполнитель 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Управление культуры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-МКОУ ДО "ДМШ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района";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 МКУК "ЦБС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района";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-Бодайбинский городской краеведческий музей;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МКУК "Централизованная бухгалтерия"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ind w:right="3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346564,8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430003,0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411492,0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423278,0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417484,6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434098,8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2 462 921,2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345459,5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426256,9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411237,0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423018,4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417484,6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434098,8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2 457 555,2</w:t>
            </w:r>
          </w:p>
        </w:tc>
      </w:tr>
      <w:tr>
        <w:trPr>
          <w:trHeight w:val="157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средства, планируемые к привлечению из областного 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федераль-ного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1 105,3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3 746,1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5 366,0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внебюджетные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0,0</w:t>
            </w:r>
          </w:p>
        </w:tc>
      </w:tr>
      <w:tr>
        <w:trPr>
          <w:trHeight w:val="418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Сохранение дополнительного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образования в сфере культуры, направленного на творческую самореализацию детей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Ответственный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исполнитель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МКОУ ДО "ДМШ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47 158,1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51 203,7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49 979,8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51 918,9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51 865,7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53 936,1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306 062,3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47 158,1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51 203,7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49 979,8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51 918,9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51 865,7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53 936,1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306 062,3</w:t>
            </w:r>
          </w:p>
        </w:tc>
      </w:tr>
      <w:tr>
        <w:trPr>
          <w:trHeight w:val="157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внебюджетные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38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Основное мероприятие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культурно-досуговой деятельности населения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МКУ "КДЦ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Бодайбо и района"   Управление культуры       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112311,0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154911,2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133635,8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136390,1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131482,9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136717,2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805 448,2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111446,6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151414,9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133635,8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136390,1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131482,9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136717,2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801 087,5</w:t>
            </w:r>
          </w:p>
        </w:tc>
      </w:tr>
      <w:tr>
        <w:trPr>
          <w:trHeight w:val="157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864,4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3 496,3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4 360,7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4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Организация библиотечного обслуживания населения, обеспечение сохранности и комплектования фондов муниципальных библиотек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Участник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               МКУК "ЦБС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54 921,5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68 760,9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73 081,9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75 223,7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70 376,3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73 145,1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415 509,4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54 680,6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68 511,1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72 826,9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74 964,1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70 376,3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73 145,1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414 504,1</w:t>
            </w:r>
          </w:p>
        </w:tc>
      </w:tr>
      <w:tr>
        <w:trPr>
          <w:trHeight w:val="157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1 005,3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420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Основное мероприятие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сохранности и доступности населению музейных фондов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 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Бодайбинский городской краеведческий музей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17 221,9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21 282,0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21 533,5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21 680,1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20 176,6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20 978,6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122 872,7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бюджет МО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17 221,9</w:t>
            </w:r>
          </w:p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21 282,0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21 533,5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21 680,1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20 176,6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20 978,6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122 872,7</w:t>
            </w:r>
          </w:p>
        </w:tc>
      </w:tr>
      <w:tr>
        <w:trPr>
          <w:trHeight w:val="157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ОБ,ФБ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381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реализации 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Ответственный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                 МКУК "Централизованная бухгалтерия"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114952,3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133845,2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133144,6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137948,8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143466,7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149205,4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812 563,0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114952,3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133845,2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133144,6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137948,8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143466,7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149205,4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812 563,0</w:t>
            </w:r>
          </w:p>
        </w:tc>
      </w:tr>
      <w:tr>
        <w:trPr>
          <w:trHeight w:val="157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383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>Основное мероприятие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Переподготовка и повышение квалификации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Ответственный исполнитель -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Управление культуры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u w:val="single"/>
              </w:rPr>
              <w:t>Участники: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Управление культуры; - МКОУ ДО "ДМШ г. Бодайбо и района"; - МКУ "КДЦ г. Бодайбо и района"; - МКУК "ЦБС г. Бодайбо и района"; - Бодайбинский городской краеведческий музей; - МКУК "Централизованная бухгалтерия"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465,6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МО г. Бодайбо и района (МБ)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spacing w:line="256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465,6</w:t>
            </w:r>
          </w:p>
        </w:tc>
      </w:tr>
      <w:tr>
        <w:trPr>
          <w:trHeight w:val="1575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планируемые к привлечению из областного и федерального бюджетов (ОБ, ФБ)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>
        <w:trPr>
          <w:trHeight w:val="63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</w:tr>
    </w:tbl>
    <w:p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  <w:sectPr>
          <w:pgSz w:w="16838" w:h="11906" w:orient="landscape"/>
          <w:pgMar w:top="1276" w:right="567" w:bottom="851" w:left="425" w:header="709" w:footer="709" w:gutter="0"/>
          <w:cols w:space="708"/>
          <w:docGrid w:linePitch="360"/>
        </w:sectPr>
      </w:pPr>
    </w:p>
    <w:p>
      <w:pPr>
        <w:spacing w:after="200" w:line="276" w:lineRule="auto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lastRenderedPageBreak/>
        <w:t>Приложение 6 к Программе</w:t>
      </w:r>
    </w:p>
    <w:p>
      <w:pPr>
        <w:spacing w:after="0" w:line="240" w:lineRule="auto"/>
        <w:jc w:val="right"/>
        <w:rPr>
          <w:rFonts w:ascii="Times New Roman" w:hAnsi="Times New Roman" w:cs="Times New Roman"/>
          <w:lang w:eastAsia="ru-RU"/>
        </w:rPr>
      </w:pP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Методика расчета целевых показателей</w:t>
      </w:r>
    </w:p>
    <w:p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«Развитие культуры Бодайбинского района» на 2025-2030 годы</w:t>
      </w:r>
    </w:p>
    <w:p>
      <w:pPr>
        <w:spacing w:after="0" w:line="276" w:lineRule="auto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>
      <w:pPr>
        <w:numPr>
          <w:ilvl w:val="0"/>
          <w:numId w:val="2"/>
        </w:numPr>
        <w:spacing w:after="0" w:line="276" w:lineRule="auto"/>
        <w:ind w:left="0" w:firstLine="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Перечень целевых показателей Задачи 1 «Сохранение дополнительного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образования сферы культуры»</w:t>
      </w:r>
    </w:p>
    <w:tbl>
      <w:tblPr>
        <w:tblW w:w="100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961"/>
        <w:gridCol w:w="4347"/>
      </w:tblGrid>
      <w:tr>
        <w:trPr>
          <w:trHeight w:val="175"/>
        </w:trPr>
        <w:tc>
          <w:tcPr>
            <w:tcW w:w="709" w:type="dxa"/>
          </w:tcPr>
          <w:p>
            <w:pPr>
              <w:spacing w:after="0" w:line="276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961" w:type="dxa"/>
          </w:tcPr>
          <w:p>
            <w:pPr>
              <w:spacing w:after="0" w:line="24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47" w:type="dxa"/>
          </w:tcPr>
          <w:p>
            <w:pPr>
              <w:spacing w:after="0" w:line="24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Периодичность </w:t>
            </w:r>
          </w:p>
          <w:p>
            <w:pPr>
              <w:spacing w:after="0" w:line="240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>
        <w:trPr>
          <w:trHeight w:val="869"/>
        </w:trPr>
        <w:tc>
          <w:tcPr>
            <w:tcW w:w="709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961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охвата детей Бодайбинского района эстетическим образованием относительно числу обучающихся в общеобразовательных школах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с 1-го по 7 классы</w:t>
            </w:r>
            <w:r>
              <w:t xml:space="preserve"> </w:t>
            </w:r>
          </w:p>
        </w:tc>
        <w:tc>
          <w:tcPr>
            <w:tcW w:w="4347" w:type="dxa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589"/>
        </w:trPr>
        <w:tc>
          <w:tcPr>
            <w:tcW w:w="709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961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Сохранение численности учащихся музыкальных школ от общего числа обучающихся в музыкальных школах</w:t>
            </w:r>
          </w:p>
        </w:tc>
        <w:tc>
          <w:tcPr>
            <w:tcW w:w="4347" w:type="dxa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709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961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обучающихся, принимающих участие в конкурсах, смотрах и других творческих мероприятиях от общего числа обучающихся в музыкальных школах </w:t>
            </w:r>
          </w:p>
        </w:tc>
        <w:tc>
          <w:tcPr>
            <w:tcW w:w="4347" w:type="dxa"/>
          </w:tcPr>
          <w:p>
            <w:pPr>
              <w:spacing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1). Алгоритм расчета показателя № 1: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Дод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= (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х 100%):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Уош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Дод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    доля охвата детей;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*- количество детей, обучающихся в музыкальных школах района;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Уош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**- количество детей, обучающихся в общеобразовательных школах с 1-го по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7-й классы.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*Исходные данные для определения значения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опубликованы на официальном сайте МКОУ ДО «Детская музыкальная школа г. Бодайбо и района» bodaybo.irk.muzkult.ru в разделе «Сведения об образовательной организации» во вкладке «Данные о численности обучающихся» или указаны 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Разделе 2.2. «Распределение приема, численности и выпуска обучающихся по образовательным программам», Графы 2 «Всего обучающихся на начало учебного года», в строке 49 «Всего»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формы ежегодного Федерального статистического наблюдения № 1 ДШИ, утвержденной приказом Росстата от 04.04.2019 N 195 "Об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за деятельностью детских музыкальных, художественных, хореографических школ и школ искусств. 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**Исходные данные для определения значения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Уош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опубликованы на официальном сайте территориального органа Федеральной службы государственной статистики Иркутской области в разделе «Статистика», во вкладке «Демография», во вложении «Численность населения по полу и возрасту Муниципального образования города Бодайбо и района» на 1 января отчетного года.</w:t>
      </w:r>
    </w:p>
    <w:p>
      <w:p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2). Алгоритм расчета показателя № 2: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Счм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= (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х 100%):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Счм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значение сохранения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численности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учащихся на отчетную дату;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*- количество детей, обучающихся в музыкальных школах района на отчетную дату.</w:t>
      </w:r>
    </w:p>
    <w:p>
      <w:pPr>
        <w:spacing w:after="0" w:line="276" w:lineRule="auto"/>
        <w:ind w:firstLine="66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*Исходные данные для определения значения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опубликованы на официальном сайте МКОУ ДО «Детская музыкальная школа г. Бодайбо и района» bodaybo.irk.muzkult.ru в разделе «Сведения об образовательной организации» во вкладке «Данные о численности обучающихся» или указаны в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Разделе 2.2. «Распределение приема, численности и выпуска обучающихся по образовательным программам», графы 2 «Всего обучающихся на начало учебного года», в строке 50 «Численность обучающихся принявших участие в творческих мероприятиях»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формы ежегодного Федерального статистического наблюдения № 1 ДШИ, утвержденной приказом Росстата от 04.04.2019 N 195 "Об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за деятельностью детских музыкальных, художественных, хореографических школ и школ искусств. </w:t>
      </w:r>
    </w:p>
    <w:p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3). Алгоритм расчета показателя № 3:</w:t>
      </w:r>
    </w:p>
    <w:p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Дмт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= (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Умт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х 100%):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Умш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Дмт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-значение доли обучающихся, принявших участие в творческих мероприятиях в отчетном периоде;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Умт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*- фактическое количество участников творческих мероприятий, проводимых в музыкальных школах района.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*Используются данные плана проведения культурно-массовых мероприятий в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музыкальных школах района.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Сводный годовой отчет работы МКОУ ДО «Детская музыкальная школа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г. Бодайбо и района» размещен на официальном сайте учреждения bodaybo.irk.muzkult.ru в разделе «Документы».</w:t>
      </w:r>
    </w:p>
    <w:p>
      <w:pPr>
        <w:spacing w:after="0" w:line="276" w:lineRule="auto"/>
        <w:ind w:left="720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>
      <w:pPr>
        <w:numPr>
          <w:ilvl w:val="0"/>
          <w:numId w:val="2"/>
        </w:num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Перечень целевых показателей Задачи 2 «Сохранение самодеятельного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художественного творчества, организация культурно-досуговой деятельности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на территории района»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103"/>
        <w:gridCol w:w="4678"/>
      </w:tblGrid>
      <w:tr>
        <w:trPr>
          <w:trHeight w:val="175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03" w:type="dxa"/>
          </w:tcPr>
          <w:p>
            <w:pPr>
              <w:spacing w:after="0" w:line="276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678" w:type="dxa"/>
          </w:tcPr>
          <w:p>
            <w:pPr>
              <w:spacing w:after="0" w:line="276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Периодичность</w:t>
            </w:r>
          </w:p>
          <w:p>
            <w:pPr>
              <w:spacing w:after="0" w:line="276" w:lineRule="auto"/>
              <w:ind w:left="36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03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кружков и клубных формирований</w:t>
            </w:r>
          </w:p>
        </w:tc>
        <w:tc>
          <w:tcPr>
            <w:tcW w:w="467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614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103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участников кружков и клубных формирований</w:t>
            </w:r>
          </w:p>
        </w:tc>
        <w:tc>
          <w:tcPr>
            <w:tcW w:w="467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03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культурно-массовых мероприятий на платной основе</w:t>
            </w:r>
          </w:p>
        </w:tc>
        <w:tc>
          <w:tcPr>
            <w:tcW w:w="467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03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культурно-массовых мероприятий на платной основе</w:t>
            </w:r>
          </w:p>
        </w:tc>
        <w:tc>
          <w:tcPr>
            <w:tcW w:w="467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spacing w:after="0" w:line="276" w:lineRule="auto"/>
              <w:ind w:left="36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03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зрителей кинопоказов на платной основе </w:t>
            </w:r>
          </w:p>
        </w:tc>
        <w:tc>
          <w:tcPr>
            <w:tcW w:w="467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1). Алгоритм расчета показателя № 1: 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Ккр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*=К1+К2+К3+К4+К5+К6+К7+К8+К9</w:t>
      </w:r>
      <w:r>
        <w:rPr>
          <w:rFonts w:ascii="Times New Roman" w:hAnsi="Times New Roman" w:cs="Times New Roman"/>
          <w:sz w:val="26"/>
          <w:szCs w:val="26"/>
          <w:lang w:eastAsia="ru-RU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Ккр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суммарное количество кружков и клубных формирований всего по МКУ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«Культурно-досуговый центр г. Бодайбо и района»;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К1-данные о количестве кружков и клубных формирований культурно-досугового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центра г. Бодайбо;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К2- данные о количестве кружков и клубных формирований досугового центра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п.Мамакан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К3- данные о количестве кружков и клубных формирований клуба микрорайона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Колобовщина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К4- данные о количестве кружков и клубных формирований клуба микрорайона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Бисяга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К5- данные о количестве кружков и клубных формирований досугового центра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К6- данные о количестве кружков и клубных формирований досугового центра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Васильевский;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К7- данные о количестве кружков и клубных формирований досугового центра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К8- данные о количестве кружков и клубных формирований клуба 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К9- данные о количестве кружков и клубных формирований досугового центра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Перевоз.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данные, которые являются исходными данными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Раздела 2 «Клубные формирования», графы 39 «Число клубных формирований», строки 01 «Организации культурно-досугового типа» Формы 7 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</w:t>
      </w:r>
      <w:r>
        <w:rPr>
          <w:rFonts w:ascii="Times New Roman" w:hAnsi="Times New Roman" w:cs="Times New Roman"/>
          <w:sz w:val="26"/>
          <w:szCs w:val="26"/>
        </w:rPr>
        <w:t>kdc.irk.muzkult.ru в разделе «О центре», во вкладке «Мониторинг показателей в рамках национального проекта «Культура».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2). Алгоритм расчета показателя № 2: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Куч*= У1+У2+У3+У4+У5+У6+У7+У8+У9, </w:t>
      </w:r>
      <w:r>
        <w:rPr>
          <w:rFonts w:ascii="Times New Roman" w:hAnsi="Times New Roman" w:cs="Times New Roman"/>
          <w:sz w:val="26"/>
          <w:szCs w:val="26"/>
          <w:lang w:eastAsia="ru-RU"/>
        </w:rPr>
        <w:t>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Куч - суммарное количество участников кружков и клубных формирований всего по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МКУ «Культурно-досуговый центр г. Бодайбо и района»;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У1-данные о количестве участников кружков и клубных формирований культурно-досугового центра г. Бодайбо;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У2- данные о количестве участников кружков и клубных формирований досугового центра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п.Мамакан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У3- данные о количестве участников кружков и клубных формирований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Колобовщина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У4- данные о количестве участников кружков и клубных формирований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Бисяга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У5- данные о количестве участников кружков и клубных формирований досугового центра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У6- данные о количестве участников кружков и клубных формирований досугового центра п. Васильевский;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 - У7- данные о количестве участников кружков и клубных формирований досугового центра 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У8- данные о количестве участников кружков и клубных формирований клуба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У9- данные о количестве участников кружков и клубных формирований досугового центра п. Перевоз.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*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расчете значений целевого показателя применяются данные, которые являются исходными данными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Раздела 2 «Клубные формирования», графы 42 «В них участников, чел. Всего», строки 01 «Организации культурно-досугового типа» Формы 7 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</w:t>
      </w:r>
      <w:r>
        <w:rPr>
          <w:rFonts w:ascii="Times New Roman" w:hAnsi="Times New Roman" w:cs="Times New Roman"/>
          <w:sz w:val="26"/>
          <w:szCs w:val="26"/>
        </w:rPr>
        <w:t>kdc.irk.muzkult.ru в разделе «О центре», во вкладке «Мониторинг показателей в рамках национального проекта «Культура».</w:t>
      </w:r>
    </w:p>
    <w:p>
      <w:pPr>
        <w:spacing w:after="0" w:line="276" w:lineRule="auto"/>
        <w:ind w:left="72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3). Алгоритм расчета показателя № 3 </w:t>
      </w:r>
    </w:p>
    <w:p>
      <w:pPr>
        <w:spacing w:after="0" w:line="276" w:lineRule="auto"/>
        <w:ind w:left="720"/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Кмм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 xml:space="preserve">* = М1+М2+М3+М4+М5+М6+М7+М8+М9, </w:t>
      </w:r>
      <w:r>
        <w:rPr>
          <w:rFonts w:ascii="Times New Roman" w:eastAsia="Calibri" w:hAnsi="Times New Roman" w:cs="Times New Roman"/>
          <w:sz w:val="26"/>
          <w:szCs w:val="26"/>
        </w:rPr>
        <w:t>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Кмм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суммарное количество культурно-массовых мероприятий на платной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основе всего по МКУ «Культурно-досуговый центр г. Бодайбо и района»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М1- данные о количестве культурно-массовых мероприятий на платной основе в отчетном периоде культурно-досугового центра г. Бодайбо;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М2- данные о количестве культурно-массовых мероприятий на платной основе в отчетном периоде досугового центра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п.Мамакан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М3- данные о количестве культурно-массовых мероприятий на платной основе в отчетном периоде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Колобовщина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М4- данные о количестве культурно-массовых мероприятий на платной основе в отчетном периоде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Бисяга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М5- данные о количестве культурно-массовых мероприятий на платной основе в отчетном периоде досугового центра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М6- данные о количестве культурно-массовых мероприятий на платной основе в отчетном периоде досугового центра п. Васильевский;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М7- данные о количестве культурно-массовых мероприятий на платной основе в отчетном периоде досугового центра 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М8- данные о количестве культурно-массовых мероприятий на платной основе в отчетном периоде клуба 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М9- данные о количестве культурно-массовых мероприятий на платной основе в отчетном периоде досугового центра п. Перевоз.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*При расчете значений целевого показателя применяются данные, которые являются исходными данными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Раздела 3 «Культурно-массовые мероприятия», графы 88 «Число культурно-массовых мероприятия на платной основе - всего, ед.», строки 01 «Организации культурно-досугового типа» Формы 7НК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</w:t>
      </w:r>
      <w:r>
        <w:rPr>
          <w:rFonts w:ascii="Times New Roman" w:hAnsi="Times New Roman" w:cs="Times New Roman"/>
          <w:sz w:val="26"/>
          <w:szCs w:val="26"/>
        </w:rPr>
        <w:t>kdc.irk.muzkult.ru в разделе «О центре», во вкладке «Мониторинг показателей в рамках национального проекта «Культура».</w:t>
      </w:r>
    </w:p>
    <w:p>
      <w:p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4). Алгоритм расчета показателя № 4</w:t>
      </w:r>
    </w:p>
    <w:p>
      <w:pPr>
        <w:spacing w:after="0" w:line="276" w:lineRule="auto"/>
        <w:ind w:left="72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Кпм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*=П1+П2+П3+П4+П5+П6+П7+П8+П9</w:t>
      </w:r>
      <w:r>
        <w:rPr>
          <w:rFonts w:ascii="Times New Roman" w:hAnsi="Times New Roman" w:cs="Times New Roman"/>
          <w:sz w:val="26"/>
          <w:szCs w:val="26"/>
          <w:lang w:eastAsia="ru-RU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Кпм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-суммарное количество зрителей культурно-массовых мероприятий на платной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основе всего по МКУ «Культурно-досуговый центр г. Бодайбо и района»;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П1- данные о количестве зрителей культурно-массовых мероприятий на платной основе в отчетном периоде культурно-досугового центра г. Бодайбо;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П2- данные о количестве зрителей культурно-массовых мероприятий на платной основе в отчетном периоде досугового центра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П3- данные о количестве зрителей культурно-массовых мероприятий на платной основе в отчетном периоде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Колобовщина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П4- данные о количестве зрителей культурно-массовых мероприятий на платной основе в отчетном периоде клуба микрорайона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Бисяга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П5- данные о количестве зрителей культурно-массовых мероприятий на платной основе в отчетном периоде досугового центра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П6- данные о количестве зрителей культурно-массовых мероприятий на платной основе в отчетном периоде досугового центра п. Васильевский;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П7- данные о количестве зрителей культурно-массовых мероприятий на платной основе в отчетном периоде досугового центра 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П8- данные о количестве зрителей культурно-массовых мероприятий на платной основе в отчетном периоде клуба 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П9- данные о количестве зрителей культурно-массовых мероприятий на платной основе в отчетном периоде досугового центра п. Перевоз.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Раздела 3 «Культурно-массовые мероприятия», графы 106 «Число посещений культурно-массовых мероприятий на платной основе - всего, чел.», строки 01 «Организации культурно-досугового типа» Формы 7 НК федерального статистического наблюдения «Свод годовых сведений об учреждениях культурно-досугового типа системы Минкультуры России», утвержденной приказом Росстата от 04.10.2019 N 577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организаций культурно-досугового типа и цирков". Значение данного показателя (нарастающим итогом) размещено на официальном сайте МКУ «Культурно-досуговый центр г. Бодайбо и района» </w:t>
      </w:r>
      <w:r>
        <w:rPr>
          <w:rFonts w:ascii="Times New Roman" w:hAnsi="Times New Roman" w:cs="Times New Roman"/>
          <w:sz w:val="26"/>
          <w:szCs w:val="26"/>
        </w:rPr>
        <w:t>kdc.irk.muzkult.ru в разделе «О центре», во вкладке «Мониторинг показателей в рамках национального проекта «Культура».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5) Алгоритм расчета показателя № 5</w:t>
      </w:r>
    </w:p>
    <w:p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КП* = Кз1+Кз2+Кз3+Кз4+Кз5+Кз6+Кз7+Кз8+Кз9+Кз10+Кз11+Кз12</w:t>
      </w:r>
      <w:r>
        <w:rPr>
          <w:rFonts w:ascii="Times New Roman" w:hAnsi="Times New Roman" w:cs="Times New Roman"/>
          <w:sz w:val="26"/>
          <w:szCs w:val="26"/>
          <w:lang w:eastAsia="ru-RU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КП- суммарное количество проданных билетов зрителям кинопоказа всего по месяцам (нарастающим итогом) в кинотеатре «Витим»;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- Кз1, Кз2, Кз3, Кз4, Кз5, Кз6, Кз7, Кз8, Кз9, Кз10, Кз11, Кз12- данные о количестве проданных билетов по месяцам (нарастающим итогом) с января по декабрь отчетного года.</w:t>
      </w:r>
    </w:p>
    <w:p>
      <w:pPr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         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 ежемесячных отчетов кассира кинотеатра.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Сводный годовой отчет МКУ «Культурно-досуговый центр г. Бодайбо и района» размещен на </w:t>
      </w:r>
      <w:r>
        <w:rPr>
          <w:rFonts w:ascii="Times New Roman" w:eastAsia="Calibri" w:hAnsi="Times New Roman" w:cs="Times New Roman"/>
          <w:sz w:val="26"/>
          <w:szCs w:val="26"/>
        </w:rPr>
        <w:t xml:space="preserve">официальном сайте </w:t>
      </w:r>
      <w:r>
        <w:rPr>
          <w:rFonts w:ascii="Times New Roman" w:hAnsi="Times New Roman" w:cs="Times New Roman"/>
          <w:sz w:val="26"/>
          <w:szCs w:val="26"/>
        </w:rPr>
        <w:t>kdc.irk.muzkult.ru в разделе «Документы».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Перечень целевых показателей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Задачи 3. «Повышение эффективности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6"/>
          <w:szCs w:val="26"/>
        </w:rPr>
        <w:t>библиотечного, библиографического и информационного обслуживания жителей»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b/>
          <w:bCs/>
          <w:sz w:val="26"/>
          <w:szCs w:val="26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245"/>
        <w:gridCol w:w="4394"/>
      </w:tblGrid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>
        <w:trPr>
          <w:trHeight w:val="66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выданных экземпляров библиотечного фонда читателям 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выполненных справок (консультаций) пользователям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читателей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проведенных общественно значимых мероприятий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numPr>
          <w:ilvl w:val="0"/>
          <w:numId w:val="3"/>
        </w:num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Алгоритм расчета показателя №1</w:t>
      </w:r>
    </w:p>
    <w:p>
      <w:pPr>
        <w:spacing w:after="0" w:line="276" w:lineRule="auto"/>
        <w:ind w:left="1080"/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Бкэ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>*=Э1+Э2+Э3+Э4+Э5+Э6+Э7+Э8</w:t>
      </w:r>
      <w:r>
        <w:rPr>
          <w:rFonts w:ascii="Times New Roman" w:eastAsia="Calibri" w:hAnsi="Times New Roman" w:cs="Times New Roman"/>
          <w:sz w:val="26"/>
          <w:szCs w:val="26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Бкэ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суммарное количество выданных экземпляров библиотечного фонда читателям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всего по МКУК «Централизованная библиотечная система г. Бодайбо и района»;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Э1- данные о количестве выданных экземпляров библиотечного фонда в Центральной городской библиотеке им С. Кузнецовой;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Э2- данные о количестве выданных экземпляров библиотечного фонда в Детской городской библиотеке им. В.Д. Давыдовой;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Э3-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Э4-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Э5-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Э6-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Э7-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Перевоз;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Э8- данные о количестве выданных экземпляров библиотечного фонда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с. Большой Патом.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*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расчете значений целевого показателя применяются данные, которые являются исходными данными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Раздела 6 «Библиотечно-информационное обслуживание пользователей», графы 100 «Выдано (просмотрено) документов из фондов данной библиотеки (всего)», строки 01 «Муниципальные общедоступные библиотеки, всего» </w:t>
      </w:r>
      <w:r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Формы 6 НК  федерального статистического наблюдения «Свод годовых сведений об общедоступных (публичных библиотеках», утвержденной приказом Росстата от 07.08.2019 N 438 (ред. от 23.08.2019)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театров".  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2). </w:t>
      </w:r>
      <w:r>
        <w:rPr>
          <w:rFonts w:ascii="Times New Roman" w:hAnsi="Times New Roman" w:cs="Times New Roman"/>
          <w:sz w:val="26"/>
          <w:szCs w:val="26"/>
          <w:lang w:eastAsia="ru-RU"/>
        </w:rPr>
        <w:t>Алгоритм расчета показателя № 2</w:t>
      </w:r>
    </w:p>
    <w:p>
      <w:pPr>
        <w:spacing w:after="0" w:line="276" w:lineRule="auto"/>
        <w:ind w:left="708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Ск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*= С1+С1+С3+С4+С5+С6+С7+С8,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Ск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суммарное количество выполненных справок и консультаций всего по МКУК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«Централизованная библиотечная система г. Бодайбо и района»;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С1-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Центральной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городской библиотеке им С. Кузнецовой;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С2-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Детской городской библиотеке им. В.Д. Давыдовой;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- С3-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С4-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С5-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С6-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С7-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п. Перевоз;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С8- данные о количестве </w:t>
      </w:r>
      <w:r>
        <w:rPr>
          <w:rFonts w:ascii="Times New Roman" w:eastAsia="Calibri" w:hAnsi="Times New Roman" w:cs="Times New Roman"/>
          <w:sz w:val="26"/>
          <w:szCs w:val="26"/>
        </w:rPr>
        <w:t>выполненных справок и консультаций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в библиотеке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с. Большой Патом.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*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Раздела 6 «Библиотечно-информационное обслуживание пользователей», графы 108 «Выполнено справок и консультаций, тыс. ед.(с точностью до 0,01)», строки 01 «Муниципальные общедоступные библиотеки, всего» Формы 6 НК  федерального статистического наблюдения «Свод годовых сведений об общедоступных (публичных библиотеках», утвержденной приказом Росстата от 07.08.2019 N 438 (ред. от 23.08.2019)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театров". </w:t>
      </w:r>
    </w:p>
    <w:p>
      <w:p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3). Алгоритм расчета показателя № 3</w:t>
      </w:r>
    </w:p>
    <w:p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Чо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>* = Ч1+Ч2+Ч3+Ч4+Ч5+Ч6+Ч7+Ч8</w:t>
      </w:r>
      <w:r>
        <w:rPr>
          <w:rFonts w:ascii="Times New Roman" w:eastAsia="Calibri" w:hAnsi="Times New Roman" w:cs="Times New Roman"/>
          <w:sz w:val="26"/>
          <w:szCs w:val="26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Чо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-суммарная численность читателей всего по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МКУК «Централизованная 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библиотечная система г. Бодайбо и района»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Ч1- численность читателей Центральной городской библиотеки им С. Кузнецовой;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Ч2- численность читателей Детской городской библиотеки им. В.Д. Давыдовой;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Ч3- численность читателей библиотеке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Ч4- численность читателей библиотеки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Ч5- численность читателей библиотеки 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Ч6- численность читателей библиотеки 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lastRenderedPageBreak/>
        <w:t>- Ч7- численность читателей библиотеки п. Перевоз;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Ч8- численность читателей библиотеки с. Большой Патом.</w:t>
      </w:r>
    </w:p>
    <w:p>
      <w:pPr>
        <w:spacing w:after="0" w:line="276" w:lineRule="auto"/>
        <w:ind w:left="72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4). Алгоритм расчета показателя № 4</w:t>
      </w:r>
    </w:p>
    <w:p>
      <w:pPr>
        <w:spacing w:after="0" w:line="276" w:lineRule="auto"/>
        <w:ind w:left="2136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     Ом=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6"/>
          <w:szCs w:val="26"/>
        </w:rPr>
        <w:t>О1+О2+О3+О4+О5+О6+О7+О8</w:t>
      </w:r>
      <w:r>
        <w:rPr>
          <w:rFonts w:ascii="Times New Roman" w:eastAsia="Calibri" w:hAnsi="Times New Roman" w:cs="Times New Roman"/>
          <w:sz w:val="26"/>
          <w:szCs w:val="26"/>
        </w:rPr>
        <w:t>,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Ом-суммарное количество проведенных общественно значимых мероприятий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всего по </w:t>
      </w:r>
      <w:r>
        <w:rPr>
          <w:rFonts w:ascii="Times New Roman" w:hAnsi="Times New Roman" w:cs="Times New Roman"/>
          <w:sz w:val="26"/>
          <w:szCs w:val="26"/>
          <w:lang w:eastAsia="ru-RU"/>
        </w:rPr>
        <w:t>МКУК «Централизованная библиотечная система г. Бодайбо и района»</w:t>
      </w:r>
      <w:r>
        <w:rPr>
          <w:rFonts w:ascii="Times New Roman" w:eastAsia="Calibri" w:hAnsi="Times New Roman" w:cs="Times New Roman"/>
          <w:sz w:val="26"/>
          <w:szCs w:val="26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О1- численность читателей Центральной городской библиотеки им С. Кузнецовой;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О2- численность читателей Детской городской библиотеки им. В.Д. Давыдовой;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О3- численность читателей библиотеке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Мамакан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О4- численность читателей библиотеки п.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Балахнинский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О5- численность читателей библиотеки п. Артемовский;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О6- численность читателей библиотеки п. Кропоткин;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О7- численность читателей библиотеки п. Перевоз;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О8- численность читателей библиотеки с. Большой Патом.</w:t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 xml:space="preserve">Раздела 4 «Число пользователей и посещений библиотеки» графы 87 «Число зарегистрированных пользователей библиотеки, тыс. чел. (с точностью до 0,1)», строки 01 «Муниципальные общедоступные библиотеки, всего» Формы 6 НК  федерального статистического наблюдения «Свод годовых сведений об общедоступных (публичных библиотеках», утвержденной приказом Росстата от 07.08.2019 N 438 (ред. от 23.08.2019) "Об утверждении форм федерального статистического наблюдения с указаниями по их заполнению для организации Министерством культуры Российской Федерации федерального статистического наблюдения за деятельностью общедоступных (публичных) библиотек и театров". </w:t>
      </w:r>
    </w:p>
    <w:p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Сводный годовой отчет работы МКУК «Централизованная библиотечная система г. Бодайбо и района» размещен на официальном сайте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 cbs-bodaibo.ru</w:t>
      </w:r>
      <w:r>
        <w:rPr>
          <w:rFonts w:ascii="Times New Roman" w:eastAsia="Calibri" w:hAnsi="Times New Roman" w:cs="Times New Roman"/>
          <w:sz w:val="26"/>
          <w:szCs w:val="26"/>
        </w:rPr>
        <w:t xml:space="preserve"> в графе «ЦБС </w:t>
      </w:r>
    </w:p>
    <w:p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г. Бодайбо и района» во вкладке «Документы».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Перечень целевых показателей Задачи 4 «</w:t>
      </w:r>
      <w:r>
        <w:rPr>
          <w:rFonts w:ascii="Times New Roman" w:hAnsi="Times New Roman" w:cs="Times New Roman"/>
          <w:bCs/>
          <w:sz w:val="26"/>
          <w:szCs w:val="26"/>
        </w:rPr>
        <w:t>Сохранение и развитие экспозиционно-выставочной деятельности муниципального музея»</w:t>
      </w:r>
    </w:p>
    <w:p>
      <w:pPr>
        <w:spacing w:after="0" w:line="276" w:lineRule="auto"/>
        <w:ind w:left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245"/>
        <w:gridCol w:w="4394"/>
      </w:tblGrid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245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ответственными лицами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представленных (во всех формах) зрителю музейных предметов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посетителей музея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245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выездных выставок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Алгоритм расчета показателя № 1</w:t>
      </w:r>
    </w:p>
    <w:p>
      <w:pPr>
        <w:spacing w:after="0" w:line="276" w:lineRule="auto"/>
        <w:ind w:left="360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Пп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*=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Поф+Пвф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eastAsia="ru-RU"/>
        </w:rPr>
        <w:t>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Пп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 суммарное количество представленных (во всех формах) зрителям музейных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предметов;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Поф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- количество (нарастающим итогом) представленных зрителям музейных 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предметов основного фонда;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Пвф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 количество (нарастающим итогом) представленных зрителям музейных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предметов вспомогательного фонда.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*При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>Раздела 1 «Краткая характеристика фондов», как сумма графы 4 «Число предметов основного фонда, которые экспонировались в течение отчетного года», строки 01 «Всего (сумма строк 02-16)» и строки вне таблицы  «Число предметов научно-вспомогательного фонда, экспонировавшихся за отчетный период (из стр.01 гр.5)» Формы федерального статистического наблюдения 8 НК «Сведения о деятельности музея», утвержденной приказом Росстата от 26.09.2018 N 584 (ред. от 23.08.2019) "Об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музеев".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2). Алгоритм расчета показателя № 2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proofErr w:type="spellStart"/>
      <w:r>
        <w:rPr>
          <w:rFonts w:ascii="Times New Roman" w:eastAsia="Calibri" w:hAnsi="Times New Roman" w:cs="Times New Roman"/>
          <w:b/>
          <w:sz w:val="26"/>
          <w:szCs w:val="26"/>
        </w:rPr>
        <w:t>Кпм</w:t>
      </w:r>
      <w:proofErr w:type="spellEnd"/>
      <w:r>
        <w:rPr>
          <w:rFonts w:ascii="Times New Roman" w:eastAsia="Calibri" w:hAnsi="Times New Roman" w:cs="Times New Roman"/>
          <w:b/>
          <w:sz w:val="26"/>
          <w:szCs w:val="26"/>
        </w:rPr>
        <w:t>*</w:t>
      </w:r>
      <w:r>
        <w:rPr>
          <w:rFonts w:ascii="Times New Roman" w:eastAsia="Calibri" w:hAnsi="Times New Roman" w:cs="Times New Roman"/>
          <w:sz w:val="26"/>
          <w:szCs w:val="26"/>
        </w:rPr>
        <w:t>=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>Кпм1+Кпм2+Кпм3+Кпм4+Кпм5+Кпм6+Кпм7+Кпм8+Кпм9+Кпм10+</w:t>
      </w:r>
    </w:p>
    <w:p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Кпм11+Кпм12</w:t>
      </w:r>
      <w:r>
        <w:rPr>
          <w:rFonts w:ascii="Times New Roman" w:hAnsi="Times New Roman" w:cs="Times New Roman"/>
          <w:sz w:val="26"/>
          <w:szCs w:val="26"/>
          <w:lang w:eastAsia="ru-RU"/>
        </w:rPr>
        <w:t>, где: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Кпм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 суммарное количество посетителей музея;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Кпм1, Кпм2, Кпм3, Кпм4, Кпм5, Кпм6, Кпм7, Кпм8, Кпм9, Кпм10, Кпм11, Кпм12- данные о количестве посетителей по месяцам (нарастающим итогом) с января по декабрь отчетного года.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>Раздела 6 «Научно-просветительная работа, графа 16 «Число посещений музея –всего, тыс. чел (сумма гр. 3, 13, 15)» Формы федерального статистического наблюдения 8 НК «Сведения о деятельности музея», утвержденной приказом Росстата от 26.09.2018 N 584 (ред. от 23.08.2019) "Об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музеев".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3). Алгоритм расчета показателя № 3</w:t>
      </w:r>
    </w:p>
    <w:p>
      <w:pPr>
        <w:spacing w:after="0" w:line="276" w:lineRule="auto"/>
        <w:ind w:firstLine="708"/>
        <w:jc w:val="center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Вв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eastAsia="ru-RU"/>
        </w:rPr>
        <w:t>*=В1+В2+В3+В4+В5+В6+В7+В8+В9+В10+В11+В12,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- </w:t>
      </w:r>
      <w:proofErr w:type="spellStart"/>
      <w:r>
        <w:rPr>
          <w:rFonts w:ascii="Times New Roman" w:hAnsi="Times New Roman" w:cs="Times New Roman"/>
          <w:sz w:val="26"/>
          <w:szCs w:val="26"/>
          <w:lang w:eastAsia="ru-RU"/>
        </w:rPr>
        <w:t>Вв</w:t>
      </w:r>
      <w:proofErr w:type="spellEnd"/>
      <w:r>
        <w:rPr>
          <w:rFonts w:ascii="Times New Roman" w:hAnsi="Times New Roman" w:cs="Times New Roman"/>
          <w:sz w:val="26"/>
          <w:szCs w:val="26"/>
          <w:lang w:eastAsia="ru-RU"/>
        </w:rPr>
        <w:t>- суммарное количество выездных выставок;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В1, В2, В3, В4, В5, В6, В7, В8, В9, В10, В11, В12- количество выездных выставок по месяцам (нарастающим итогом) с января по декабрь отчетного года.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*При расчете значений целевого показателя применяются данные, которые являются исходными данными </w:t>
      </w:r>
      <w:r>
        <w:rPr>
          <w:rFonts w:ascii="Times New Roman" w:eastAsia="Calibri" w:hAnsi="Times New Roman" w:cs="Times New Roman"/>
          <w:sz w:val="26"/>
          <w:szCs w:val="26"/>
        </w:rPr>
        <w:t>Раздела 7 «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Выставочно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-экспозиционная деятельность», графы 10 «Из общего числа выставок проведены (из гр. 2)» Формы федерального статистического наблюдения 8 НК «Сведения о деятельности музея», утвержденной приказом Росстата от 26.09.2018 N 584 (ред. от 23.08.2019) "Об утверждении статистического инструментария для организации Министерством культуры Российской Федерации федерального статистического наблюдения за деятельностью музеев".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Сводный годовой отчет работы МКУК «Бодайбинский городской краеведческий музей им. В.Ф. Верещагина» размещен на официальном сайте учреждения </w:t>
      </w:r>
      <w:r>
        <w:rPr>
          <w:rFonts w:ascii="Times New Roman" w:hAnsi="Times New Roman" w:cs="Times New Roman"/>
          <w:sz w:val="26"/>
          <w:szCs w:val="26"/>
        </w:rPr>
        <w:t>bodmuseum.irk.muzkult.ru в разделе «Документы».</w:t>
      </w:r>
    </w:p>
    <w:p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Перечень целевых показателей Задачи 5 «Совершенствование </w:t>
      </w:r>
    </w:p>
    <w:p>
      <w:pPr>
        <w:spacing w:after="0" w:line="240" w:lineRule="auto"/>
        <w:ind w:left="36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организационного, методического, экономического механизмов функционирования</w:t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сферы культуры района»</w:t>
      </w:r>
    </w:p>
    <w:p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387"/>
        <w:gridCol w:w="4394"/>
      </w:tblGrid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7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>
        <w:trPr>
          <w:trHeight w:val="78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1.</w:t>
            </w:r>
          </w:p>
        </w:tc>
        <w:tc>
          <w:tcPr>
            <w:tcW w:w="5387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обоснованных замечаний со стороны контролирующих, надзорных органов и вышестоящих организаций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387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жалоб, поданных на качество оказываемых услуг в сфере культуры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1). Алгоритм расчета показателя № 1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Но*= (-Н</w:t>
      </w:r>
      <w:proofErr w:type="gramStart"/>
      <w:r>
        <w:rPr>
          <w:rFonts w:ascii="Times New Roman" w:eastAsia="Calibri" w:hAnsi="Times New Roman" w:cs="Times New Roman"/>
          <w:b/>
          <w:sz w:val="26"/>
          <w:szCs w:val="26"/>
        </w:rPr>
        <w:t>1)+</w:t>
      </w:r>
      <w:proofErr w:type="gramEnd"/>
      <w:r>
        <w:rPr>
          <w:rFonts w:ascii="Times New Roman" w:eastAsia="Calibri" w:hAnsi="Times New Roman" w:cs="Times New Roman"/>
          <w:b/>
          <w:sz w:val="26"/>
          <w:szCs w:val="26"/>
        </w:rPr>
        <w:t>(-Н2)+(-Н3)+(-Н4)+(-Н5)+(-Н6)+(-Н7)+(-Н8)+(-Н9)+(-Н10)+</w:t>
      </w:r>
    </w:p>
    <w:p>
      <w:pPr>
        <w:spacing w:after="0" w:line="276" w:lineRule="auto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>(-Н</w:t>
      </w:r>
      <w:proofErr w:type="gramStart"/>
      <w:r>
        <w:rPr>
          <w:rFonts w:ascii="Times New Roman" w:eastAsia="Calibri" w:hAnsi="Times New Roman" w:cs="Times New Roman"/>
          <w:b/>
          <w:sz w:val="26"/>
          <w:szCs w:val="26"/>
        </w:rPr>
        <w:t>11)+</w:t>
      </w:r>
      <w:proofErr w:type="gramEnd"/>
      <w:r>
        <w:rPr>
          <w:rFonts w:ascii="Times New Roman" w:eastAsia="Calibri" w:hAnsi="Times New Roman" w:cs="Times New Roman"/>
          <w:b/>
          <w:sz w:val="26"/>
          <w:szCs w:val="26"/>
        </w:rPr>
        <w:t>(-Н12)</w:t>
      </w:r>
      <w:r>
        <w:rPr>
          <w:rFonts w:ascii="Times New Roman" w:eastAsia="Calibri" w:hAnsi="Times New Roman" w:cs="Times New Roman"/>
          <w:sz w:val="26"/>
          <w:szCs w:val="26"/>
        </w:rPr>
        <w:t>, где</w:t>
      </w:r>
    </w:p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- Но-суммарное количество замечаний в отчетном периоде;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Н1, Н2, Н3, Н4, Н5, Н6, Н7, Н8, Н9, Н10, Н11, Н12- </w:t>
      </w:r>
      <w:r>
        <w:rPr>
          <w:rFonts w:ascii="Times New Roman" w:hAnsi="Times New Roman" w:cs="Times New Roman"/>
          <w:sz w:val="26"/>
          <w:szCs w:val="26"/>
          <w:lang w:eastAsia="ru-RU"/>
        </w:rPr>
        <w:t>количество замечаний по месяцам (нарастающим итогом) с января по декабрь отчетного года.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 xml:space="preserve">Показатель № 1 является негативным. При </w:t>
      </w:r>
      <w:proofErr w:type="gramStart"/>
      <w:r>
        <w:rPr>
          <w:rFonts w:ascii="Times New Roman" w:hAnsi="Times New Roman" w:cs="Times New Roman"/>
          <w:sz w:val="26"/>
          <w:szCs w:val="26"/>
          <w:lang w:eastAsia="ru-RU"/>
        </w:rPr>
        <w:t>подсчете</w:t>
      </w:r>
      <w:proofErr w:type="gramEnd"/>
      <w:r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Но </w:t>
      </w:r>
      <w:r>
        <w:rPr>
          <w:rFonts w:ascii="Times New Roman" w:hAnsi="Times New Roman" w:cs="Times New Roman"/>
          <w:sz w:val="26"/>
          <w:szCs w:val="26"/>
          <w:lang w:eastAsia="ru-RU"/>
        </w:rPr>
        <w:t>итоговый результат будет иметь отрицательное значение.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2). Алгоритм расчета показателя № 2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Уж=(-Ж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1)+</w:t>
      </w:r>
      <w:proofErr w:type="gramEnd"/>
      <w:r>
        <w:rPr>
          <w:rFonts w:ascii="Times New Roman" w:hAnsi="Times New Roman" w:cs="Times New Roman"/>
          <w:b/>
          <w:sz w:val="26"/>
          <w:szCs w:val="26"/>
          <w:lang w:eastAsia="ru-RU"/>
        </w:rPr>
        <w:t>(-Ж2)+(-Ж3)+(-Ж4)+(-Ж5)+(-Ж6)+(-Ж7)+(-Ж8)+(-Ж9)+(-Ж10)+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eastAsia="ru-RU"/>
        </w:rPr>
        <w:t>(-Ж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11)+</w:t>
      </w:r>
      <w:proofErr w:type="gramEnd"/>
      <w:r>
        <w:rPr>
          <w:rFonts w:ascii="Times New Roman" w:hAnsi="Times New Roman" w:cs="Times New Roman"/>
          <w:b/>
          <w:sz w:val="26"/>
          <w:szCs w:val="26"/>
          <w:lang w:eastAsia="ru-RU"/>
        </w:rPr>
        <w:t>(-Ж12),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где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Уж- суммарное количество жалоб в отчетном периоде;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- Ж1, Ж2, Ж3, Ж4, Ж5, Ж6, Ж7, Ж8, Ж9, Ж10, Ж11, Ж12- количество жалоб по месяцам (нарастающим итогом) с января по декабрь отчетного года.</w:t>
      </w:r>
    </w:p>
    <w:p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 xml:space="preserve">Показатель № 2 является негативным. При подсчете </w:t>
      </w:r>
      <w:proofErr w:type="gramStart"/>
      <w:r>
        <w:rPr>
          <w:rFonts w:ascii="Times New Roman" w:hAnsi="Times New Roman" w:cs="Times New Roman"/>
          <w:b/>
          <w:sz w:val="26"/>
          <w:szCs w:val="26"/>
          <w:lang w:eastAsia="ru-RU"/>
        </w:rPr>
        <w:t>Уж</w:t>
      </w:r>
      <w:proofErr w:type="gramEnd"/>
      <w:r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итоговый результат будет иметь отрицательное значение.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*Перечень проверок и предписаний органов, осуществляющих контроль в сфере культуры размещен на официальном сайте Администрации муниципального образования г. Бодайбо и района» в разделе «Администрация», во вкладке «Культура», на странице «Документы».».</w:t>
      </w:r>
    </w:p>
    <w:p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ab/>
        <w:t>В случае отсутствия в отчетном периоде замечаний и жалоб значение Показателя № 1 и Показателя № 2 будет положительным и равен 1 по каждому из показателей.</w:t>
      </w:r>
    </w:p>
    <w:p>
      <w:pPr>
        <w:spacing w:after="0" w:line="276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p>
      <w:pPr>
        <w:pStyle w:val="aa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Перечень целевых показателей задачи 6 «Организация переподготовки и повышения квалификации работников учреждений культуры»</w:t>
      </w:r>
    </w:p>
    <w:p>
      <w:pPr>
        <w:spacing w:after="0" w:line="276" w:lineRule="auto"/>
        <w:rPr>
          <w:rFonts w:ascii="Times New Roman" w:hAnsi="Times New Roman" w:cs="Times New Roman"/>
          <w:sz w:val="26"/>
          <w:szCs w:val="26"/>
          <w:lang w:eastAsia="ru-RU"/>
        </w:rPr>
      </w:pP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5387"/>
        <w:gridCol w:w="4394"/>
      </w:tblGrid>
      <w:tr>
        <w:trPr>
          <w:trHeight w:val="175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87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Наименование целевого показателя</w:t>
            </w:r>
          </w:p>
        </w:tc>
        <w:tc>
          <w:tcPr>
            <w:tcW w:w="4394" w:type="dxa"/>
          </w:tcPr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Периодичность</w:t>
            </w:r>
          </w:p>
          <w:p>
            <w:pPr>
              <w:pStyle w:val="a9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предоставления сведений ответственными лицами</w:t>
            </w:r>
          </w:p>
        </w:tc>
      </w:tr>
      <w:tr>
        <w:trPr>
          <w:trHeight w:val="559"/>
        </w:trPr>
        <w:tc>
          <w:tcPr>
            <w:tcW w:w="568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387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работников, прошедших переподготовку и повышение квалификации</w:t>
            </w:r>
          </w:p>
        </w:tc>
        <w:tc>
          <w:tcPr>
            <w:tcW w:w="4394" w:type="dxa"/>
          </w:tcPr>
          <w:p>
            <w:pPr>
              <w:pStyle w:val="a9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ежеквартально до 03 числа следующего за отчетным периодом</w:t>
            </w:r>
          </w:p>
        </w:tc>
      </w:tr>
    </w:tbl>
    <w:p>
      <w:pPr>
        <w:spacing w:after="0" w:line="276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Показатель складывается на основании отчета сотрудников кадровой службы, которые представляют сведения о работниках, прошедших переподготовку или повышение квалификации в отчетном периоде (согласно приказам, направлениям на обучение, наличию документов об обучении).</w:t>
      </w:r>
    </w:p>
    <w:p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В случае отсутствия финансирования по статье «Переподготовка и повышение квалификации специалистов муниципальных учреждений и муниципальных служащих», показатель не рассчитывается и не учитывается при определении эффективности Программы по итогам отчетного периода. </w:t>
      </w:r>
    </w:p>
    <w:sectPr>
      <w:pgSz w:w="11906" w:h="16838"/>
      <w:pgMar w:top="567" w:right="851" w:bottom="42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795E67"/>
    <w:multiLevelType w:val="hybridMultilevel"/>
    <w:tmpl w:val="86F4A3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F5C5B"/>
    <w:multiLevelType w:val="hybridMultilevel"/>
    <w:tmpl w:val="6A20E3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24E7F"/>
    <w:multiLevelType w:val="hybridMultilevel"/>
    <w:tmpl w:val="76540F4E"/>
    <w:lvl w:ilvl="0" w:tplc="FCBA0440">
      <w:start w:val="1"/>
      <w:numFmt w:val="decimal"/>
      <w:lvlText w:val="%1.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3823EA9"/>
    <w:multiLevelType w:val="hybridMultilevel"/>
    <w:tmpl w:val="9BBCEE7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8F2892"/>
    <w:multiLevelType w:val="hybridMultilevel"/>
    <w:tmpl w:val="55BCA5F2"/>
    <w:lvl w:ilvl="0" w:tplc="8E3E6692">
      <w:start w:val="1"/>
      <w:numFmt w:val="decimal"/>
      <w:lvlText w:val="%1)"/>
      <w:lvlJc w:val="left"/>
      <w:pPr>
        <w:ind w:left="720" w:hanging="360"/>
      </w:pPr>
      <w:rPr>
        <w:rFonts w:hint="default"/>
        <w:color w:val="0070C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CD09FB"/>
    <w:multiLevelType w:val="hybridMultilevel"/>
    <w:tmpl w:val="11460C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6624C0"/>
    <w:multiLevelType w:val="hybridMultilevel"/>
    <w:tmpl w:val="C7907DB2"/>
    <w:lvl w:ilvl="0" w:tplc="E940FC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F6D5E71"/>
    <w:multiLevelType w:val="hybridMultilevel"/>
    <w:tmpl w:val="136464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comments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6FD568-A033-45C0-A0C0-5CF059A7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semiHidden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Pr>
      <w:rFonts w:ascii="Segoe UI" w:eastAsia="Calibri" w:hAnsi="Segoe UI" w:cs="Segoe UI"/>
      <w:sz w:val="18"/>
      <w:szCs w:val="18"/>
    </w:rPr>
  </w:style>
  <w:style w:type="paragraph" w:styleId="a9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a">
    <w:name w:val="List Paragraph"/>
    <w:basedOn w:val="a"/>
    <w:uiPriority w:val="34"/>
    <w:qFormat/>
    <w:pPr>
      <w:spacing w:line="256" w:lineRule="auto"/>
      <w:ind w:left="720"/>
      <w:contextualSpacing/>
    </w:pPr>
    <w:rPr>
      <w:rFonts w:ascii="Calibri" w:eastAsia="Calibri" w:hAnsi="Calibri" w:cs="Times New Roman"/>
    </w:rPr>
  </w:style>
  <w:style w:type="table" w:styleId="ab">
    <w:name w:val="Table Grid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b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b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Pr>
      <w:color w:val="0000FF"/>
      <w:u w:val="single"/>
    </w:rPr>
  </w:style>
  <w:style w:type="table" w:customStyle="1" w:styleId="10">
    <w:name w:val="Сетка таблицы1"/>
    <w:basedOn w:val="a1"/>
    <w:next w:val="ab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b"/>
    <w:uiPriority w:val="3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9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7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ocs.cntd.ru/document/43050629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01B54-2DBE-4ADC-9BF0-68AB84215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710</TotalTime>
  <Pages>41</Pages>
  <Words>13224</Words>
  <Characters>75380</Characters>
  <Application>Microsoft Office Word</Application>
  <DocSecurity>0</DocSecurity>
  <Lines>628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Ярковая Виктория Владимировна</dc:creator>
  <cp:keywords/>
  <dc:description/>
  <cp:lastModifiedBy>Ярковая Виктория Владимировна</cp:lastModifiedBy>
  <cp:revision>10</cp:revision>
  <cp:lastPrinted>2024-12-26T06:41:00Z</cp:lastPrinted>
  <dcterms:created xsi:type="dcterms:W3CDTF">2024-11-07T04:47:00Z</dcterms:created>
  <dcterms:modified xsi:type="dcterms:W3CDTF">2026-09-23T06:49:00Z</dcterms:modified>
</cp:coreProperties>
</file>