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C7" w:rsidRDefault="002B61D3" w:rsidP="00D260C7">
      <w:pPr>
        <w:jc w:val="center"/>
        <w:rPr>
          <w:b/>
        </w:rPr>
      </w:pPr>
      <w:r w:rsidRPr="002B61D3">
        <w:rPr>
          <w:b/>
        </w:rPr>
        <w:t xml:space="preserve">Об итогах работы отдела по молодежной политике и спорту </w:t>
      </w:r>
      <w:r w:rsidR="00890865">
        <w:rPr>
          <w:b/>
        </w:rPr>
        <w:t>о мерах профилактики злоупотребления наркотическими средствами и психотропными веществами в районе.</w:t>
      </w:r>
    </w:p>
    <w:p w:rsidR="00A45510" w:rsidRDefault="00C42301" w:rsidP="00673B99">
      <w:pPr>
        <w:pStyle w:val="a3"/>
        <w:jc w:val="both"/>
      </w:pPr>
      <w:r>
        <w:t xml:space="preserve">           </w:t>
      </w:r>
      <w:r w:rsidR="002C2ECB" w:rsidRPr="002C2ECB">
        <w:t>Работа</w:t>
      </w:r>
      <w:r w:rsidR="002C2ECB">
        <w:t xml:space="preserve"> отдела по молодежной политике и спорту администрации муниципального образования г</w:t>
      </w:r>
      <w:proofErr w:type="gramStart"/>
      <w:r w:rsidR="002C2ECB">
        <w:t>.Б</w:t>
      </w:r>
      <w:proofErr w:type="gramEnd"/>
      <w:r w:rsidR="002C2ECB">
        <w:t xml:space="preserve">одайбо и района </w:t>
      </w:r>
      <w:r w:rsidR="00890865">
        <w:t xml:space="preserve">по профилактике злоупотребления наркотическими средствами и психотропными веществами </w:t>
      </w:r>
      <w:r w:rsidR="002C2ECB">
        <w:t xml:space="preserve">осуществляется </w:t>
      </w:r>
      <w:r w:rsidR="00890865">
        <w:t xml:space="preserve">рамках </w:t>
      </w:r>
      <w:proofErr w:type="spellStart"/>
      <w:r w:rsidR="00890865">
        <w:t>р</w:t>
      </w:r>
      <w:proofErr w:type="spellEnd"/>
      <w:r w:rsidR="00890865">
        <w:t xml:space="preserve"> рамках реализации муниципальной программы «Развитие молодежной политики в </w:t>
      </w:r>
      <w:proofErr w:type="spellStart"/>
      <w:r w:rsidR="00890865">
        <w:t>Бодайбинском</w:t>
      </w:r>
      <w:proofErr w:type="spellEnd"/>
      <w:r w:rsidR="00890865">
        <w:t xml:space="preserve"> районе» на 2015-2020 годы, подпрограммой «Комплексные меры профилактики злоупотребления наркотическими средствами и психотропными веществами в </w:t>
      </w:r>
      <w:proofErr w:type="spellStart"/>
      <w:r w:rsidR="00890865">
        <w:t>Бодайбинском</w:t>
      </w:r>
      <w:proofErr w:type="spellEnd"/>
      <w:r w:rsidR="00890865">
        <w:t xml:space="preserve"> районе», утвержденной постановлением Администрации МО г.Бодайбо</w:t>
      </w:r>
      <w:r w:rsidR="0001068B">
        <w:t xml:space="preserve"> и района от 10.11.2014 № 516-п.</w:t>
      </w:r>
    </w:p>
    <w:p w:rsidR="0001068B" w:rsidRDefault="00673B99" w:rsidP="00673B99">
      <w:pPr>
        <w:pStyle w:val="a3"/>
        <w:jc w:val="both"/>
      </w:pPr>
      <w:r>
        <w:t xml:space="preserve">          </w:t>
      </w:r>
      <w:r w:rsidR="0001068B">
        <w:t>Задачами Подпрограммы является:</w:t>
      </w:r>
    </w:p>
    <w:p w:rsidR="0001068B" w:rsidRDefault="00673B99" w:rsidP="00673B99">
      <w:pPr>
        <w:pStyle w:val="a3"/>
        <w:jc w:val="both"/>
      </w:pPr>
      <w:r>
        <w:t xml:space="preserve">          </w:t>
      </w:r>
      <w:r w:rsidR="0001068B">
        <w:t xml:space="preserve">1. Организация и проведение комплексных мероприятий по профилактике социально-негативных явлений среди несовершеннолетних и молодежи на территории </w:t>
      </w:r>
      <w:proofErr w:type="spellStart"/>
      <w:r w:rsidR="0001068B">
        <w:t>Бодайбинского</w:t>
      </w:r>
      <w:proofErr w:type="spellEnd"/>
      <w:r w:rsidR="0001068B">
        <w:t xml:space="preserve"> района.</w:t>
      </w:r>
    </w:p>
    <w:p w:rsidR="0001068B" w:rsidRDefault="00673B99" w:rsidP="00673B99">
      <w:pPr>
        <w:pStyle w:val="a3"/>
        <w:jc w:val="both"/>
      </w:pPr>
      <w:r>
        <w:t xml:space="preserve">          </w:t>
      </w:r>
      <w:r w:rsidR="0001068B">
        <w:t>2. Развитие системы раннего выявления незаконных потребителей наркотических средств и психотропных веществ, а также асоциальных явлений в молодежной среде.</w:t>
      </w:r>
    </w:p>
    <w:p w:rsidR="0001068B" w:rsidRDefault="00673B99" w:rsidP="00673B99">
      <w:pPr>
        <w:pStyle w:val="a3"/>
        <w:jc w:val="both"/>
      </w:pPr>
      <w:r>
        <w:t xml:space="preserve">          </w:t>
      </w:r>
      <w:r w:rsidR="0001068B">
        <w:t xml:space="preserve">По данным ОГБУЗ «Районная больница» на диспансерном учете </w:t>
      </w:r>
      <w:r w:rsidR="00081195">
        <w:t>с зависимостью от наркотических средств и психотропных веществ состоит 7 человек (в 2015 году – 5), из них несовершеннолетних – 0.</w:t>
      </w:r>
    </w:p>
    <w:p w:rsidR="00081195" w:rsidRDefault="00673B99" w:rsidP="00673B99">
      <w:pPr>
        <w:pStyle w:val="a3"/>
        <w:jc w:val="both"/>
      </w:pPr>
      <w:r>
        <w:t xml:space="preserve">           </w:t>
      </w:r>
      <w:r w:rsidR="00081195">
        <w:t xml:space="preserve">На учете в </w:t>
      </w:r>
      <w:proofErr w:type="spellStart"/>
      <w:r w:rsidR="00081195">
        <w:t>наркопостах</w:t>
      </w:r>
      <w:proofErr w:type="spellEnd"/>
      <w:r w:rsidR="00081195">
        <w:t xml:space="preserve"> образовательных организаций состоят 45 подростков, из них за устойчивое курение – 36, за употребление спиртных напитков – 9.</w:t>
      </w:r>
    </w:p>
    <w:p w:rsidR="00081195" w:rsidRDefault="00673B99" w:rsidP="00673B99">
      <w:pPr>
        <w:pStyle w:val="a3"/>
        <w:jc w:val="both"/>
      </w:pPr>
      <w:r>
        <w:t xml:space="preserve">            </w:t>
      </w:r>
      <w:r w:rsidR="00081195">
        <w:t>Задачи Подпрограммы реализуются через мероприятия, направленные на профилактику асоциальных явлений среди несовершеннолетних и молодежи.</w:t>
      </w:r>
    </w:p>
    <w:p w:rsidR="00081195" w:rsidRDefault="00673B99" w:rsidP="00673B99">
      <w:pPr>
        <w:pStyle w:val="a3"/>
        <w:jc w:val="both"/>
      </w:pPr>
      <w:r>
        <w:t xml:space="preserve">            </w:t>
      </w:r>
      <w:r w:rsidR="00081195">
        <w:t>Одним из важнейших мер</w:t>
      </w:r>
      <w:r>
        <w:t>о</w:t>
      </w:r>
      <w:r w:rsidR="00081195">
        <w:t xml:space="preserve">приятий является размещение информации в СМИ, распространение буклетов, информационных плакатов </w:t>
      </w:r>
      <w:proofErr w:type="spellStart"/>
      <w:r w:rsidR="00081195">
        <w:t>профилактичской</w:t>
      </w:r>
      <w:proofErr w:type="spellEnd"/>
      <w:r w:rsidR="00081195">
        <w:t xml:space="preserve"> направленности.</w:t>
      </w:r>
    </w:p>
    <w:p w:rsidR="00081195" w:rsidRDefault="00673B99" w:rsidP="00673B99">
      <w:pPr>
        <w:pStyle w:val="a3"/>
        <w:jc w:val="both"/>
      </w:pPr>
      <w:r>
        <w:t xml:space="preserve">            </w:t>
      </w:r>
      <w:r w:rsidR="00595F58">
        <w:t xml:space="preserve">За 9 месяцев 2016 года в газете «Ленский шахтер» было опубликовано 17 статей, распространено более 60 буклетов среди студентов </w:t>
      </w:r>
      <w:proofErr w:type="spellStart"/>
      <w:r w:rsidR="00595F58">
        <w:t>Бодайбинского</w:t>
      </w:r>
      <w:proofErr w:type="spellEnd"/>
      <w:r w:rsidR="00595F58">
        <w:t xml:space="preserve"> горного техникума, информационные листовки о телефоне доверия среди несовершеннолетних, состоящих на всех видах учета в количестве 50 штук.</w:t>
      </w:r>
    </w:p>
    <w:p w:rsidR="00595F58" w:rsidRDefault="00673B99" w:rsidP="00673B99">
      <w:pPr>
        <w:pStyle w:val="a3"/>
        <w:jc w:val="both"/>
      </w:pPr>
      <w:r>
        <w:t xml:space="preserve">             </w:t>
      </w:r>
      <w:r w:rsidR="00595F58">
        <w:t xml:space="preserve">В образовательных организациях в рамках деятельности </w:t>
      </w:r>
      <w:proofErr w:type="spellStart"/>
      <w:r w:rsidR="00595F58">
        <w:t>наркопостов</w:t>
      </w:r>
      <w:proofErr w:type="spellEnd"/>
      <w:r w:rsidR="00595F58">
        <w:t xml:space="preserve"> традиционно проводятся тренинги по профилактике </w:t>
      </w:r>
      <w:proofErr w:type="spellStart"/>
      <w:r w:rsidR="00595F58">
        <w:t>табакокурения</w:t>
      </w:r>
      <w:proofErr w:type="spellEnd"/>
      <w:r w:rsidR="00595F58">
        <w:t xml:space="preserve">, наркомании и алкоголизма. Так были проведены </w:t>
      </w:r>
      <w:proofErr w:type="spellStart"/>
      <w:r w:rsidR="00595F58">
        <w:t>ероприятия</w:t>
      </w:r>
      <w:proofErr w:type="spellEnd"/>
      <w:r w:rsidR="00595F58">
        <w:t>, посвященные Всемирному дню без табака</w:t>
      </w:r>
      <w:proofErr w:type="gramStart"/>
      <w:r w:rsidR="00595F58">
        <w:t xml:space="preserve"> В</w:t>
      </w:r>
      <w:proofErr w:type="gramEnd"/>
      <w:r w:rsidR="00595F58">
        <w:t xml:space="preserve"> них приняло участие 1111 человек. 606 человек обучающихся приняли участие в анкетирование, проведены уроки здоровья и конкурс плакатов. В них приняло участие 621 человек.</w:t>
      </w:r>
    </w:p>
    <w:p w:rsidR="00595F58" w:rsidRDefault="00595F58" w:rsidP="00673B99">
      <w:pPr>
        <w:pStyle w:val="a3"/>
        <w:jc w:val="both"/>
      </w:pPr>
      <w:r>
        <w:t>Кроме этого в образовательных организациях района психологами проконсультировано 44 обучающихся, в том числе 69 родителей.</w:t>
      </w:r>
    </w:p>
    <w:p w:rsidR="00595F58" w:rsidRDefault="00673B99" w:rsidP="00673B99">
      <w:pPr>
        <w:pStyle w:val="a3"/>
        <w:jc w:val="both"/>
      </w:pPr>
      <w:r>
        <w:t xml:space="preserve">              </w:t>
      </w:r>
      <w:r w:rsidR="003C0ACF">
        <w:t xml:space="preserve">На территории муниципального образования  действуют 4 программы по профилактике наркомании и токсикомании, количество несовершеннолетних, прошедших </w:t>
      </w:r>
      <w:proofErr w:type="gramStart"/>
      <w:r w:rsidR="003C0ACF">
        <w:t>обучение по</w:t>
      </w:r>
      <w:proofErr w:type="gramEnd"/>
      <w:r w:rsidR="003C0ACF">
        <w:t xml:space="preserve"> образовательным программам по профилактике наркомании и токсикомании составило 748 человек. 5 педагогов прошли обучение по вышеназванным программам.</w:t>
      </w:r>
    </w:p>
    <w:p w:rsidR="003C0ACF" w:rsidRDefault="00673B99" w:rsidP="00673B99">
      <w:pPr>
        <w:pStyle w:val="a3"/>
        <w:jc w:val="both"/>
      </w:pPr>
      <w:r>
        <w:t xml:space="preserve">              </w:t>
      </w:r>
      <w:r w:rsidR="003C0ACF">
        <w:t>Кроме этого проводятся профилактические мероприятия совместно с родителями, таких мероприятий за истекший период проведено 33.</w:t>
      </w:r>
    </w:p>
    <w:p w:rsidR="003C0ACF" w:rsidRDefault="00673B99" w:rsidP="00673B99">
      <w:pPr>
        <w:pStyle w:val="a3"/>
        <w:jc w:val="both"/>
      </w:pPr>
      <w:r>
        <w:t xml:space="preserve">              </w:t>
      </w:r>
      <w:r w:rsidR="003C0ACF">
        <w:t>Продолжается работа по подготовке добровольцев из числа школьников. Всего за 9 месяцев 2016 года подготовлено 57 добровольцев.</w:t>
      </w:r>
    </w:p>
    <w:p w:rsidR="003C0ACF" w:rsidRDefault="00673B99" w:rsidP="00673B99">
      <w:pPr>
        <w:pStyle w:val="a3"/>
        <w:jc w:val="both"/>
      </w:pPr>
      <w:r>
        <w:t xml:space="preserve">              </w:t>
      </w:r>
      <w:r w:rsidR="003C0ACF">
        <w:t>Проводятся акции профилактичес</w:t>
      </w:r>
      <w:r w:rsidR="00BF1D78">
        <w:t xml:space="preserve">кой направленности. Акция «Будущее за нами» проводилась для студентов </w:t>
      </w:r>
      <w:proofErr w:type="spellStart"/>
      <w:r w:rsidR="00BF1D78">
        <w:t>Бодайбинского</w:t>
      </w:r>
      <w:proofErr w:type="spellEnd"/>
      <w:r w:rsidR="00BF1D78">
        <w:t xml:space="preserve"> горного техникума. Для 100 человек студентов 1 и 2 курсов врачом-наркологом проведена беседа, доктор ответил на вопросы.</w:t>
      </w:r>
    </w:p>
    <w:p w:rsidR="00BF1D78" w:rsidRDefault="00673B99" w:rsidP="00673B99">
      <w:pPr>
        <w:pStyle w:val="a3"/>
        <w:jc w:val="both"/>
      </w:pPr>
      <w:r>
        <w:t xml:space="preserve">              </w:t>
      </w:r>
      <w:r w:rsidR="00BF1D78">
        <w:t>На территории района действует муниципальный пр</w:t>
      </w:r>
      <w:r>
        <w:t>о</w:t>
      </w:r>
      <w:r w:rsidR="00BF1D78">
        <w:t>ект «Эффект команды». Ребятами из этой общественной организации подготовлена и проведена акция «Синяя лента», которая охватила 150 человек. В рамках профилактической акции «</w:t>
      </w:r>
      <w:proofErr w:type="spellStart"/>
      <w:r w:rsidR="00BF1D78">
        <w:t>Стоп</w:t>
      </w:r>
      <w:proofErr w:type="gramStart"/>
      <w:r w:rsidR="00BF1D78">
        <w:t>.С</w:t>
      </w:r>
      <w:proofErr w:type="gramEnd"/>
      <w:r w:rsidR="00BF1D78">
        <w:t>ПИД</w:t>
      </w:r>
      <w:proofErr w:type="spellEnd"/>
      <w:r w:rsidR="00BF1D78">
        <w:t xml:space="preserve">» </w:t>
      </w:r>
      <w:r w:rsidR="00BF1D78">
        <w:lastRenderedPageBreak/>
        <w:t>проведено 73 мероприятия, в которых приняли участие 1706 обучающихся, 110 педагогов, 67 родителей.</w:t>
      </w:r>
    </w:p>
    <w:p w:rsidR="00E646DC" w:rsidRDefault="00673B99" w:rsidP="00673B99">
      <w:pPr>
        <w:pStyle w:val="a3"/>
        <w:jc w:val="both"/>
      </w:pPr>
      <w:r>
        <w:t xml:space="preserve">           </w:t>
      </w:r>
      <w:r w:rsidR="00BF1D78">
        <w:t xml:space="preserve">На сегодняшний день развивается волонтерское движение не только среди обучающихся образовательных учреждений, но и среди работающей молодежи. </w:t>
      </w:r>
      <w:r w:rsidR="00233E05">
        <w:t xml:space="preserve">Около 70 человек </w:t>
      </w:r>
      <w:proofErr w:type="gramStart"/>
      <w:r w:rsidR="00233E05">
        <w:t>охвачены</w:t>
      </w:r>
      <w:proofErr w:type="gramEnd"/>
      <w:r w:rsidR="00233E05">
        <w:t xml:space="preserve"> этим движением.  Ребята оказывают помощь Малообеспеченным гражданам. По инициативе молодежи при храме Рождества Христова создан кризисный центр для женщин, находящихся в трудной жизненной ситуации. Огромная работа проводится по уборке мусора мест отдыха </w:t>
      </w:r>
      <w:proofErr w:type="spellStart"/>
      <w:r w:rsidR="00233E05">
        <w:t>бодайбинцев</w:t>
      </w:r>
      <w:proofErr w:type="spellEnd"/>
      <w:r w:rsidR="00233E05">
        <w:t>, сбор сре</w:t>
      </w:r>
      <w:proofErr w:type="gramStart"/>
      <w:r w:rsidR="00233E05">
        <w:t>дств дл</w:t>
      </w:r>
      <w:proofErr w:type="gramEnd"/>
      <w:r w:rsidR="00233E05">
        <w:t>я тяжелобольных. В августе 2016 года Макарова Настя и Кушнарева Ирина прошли отбор в конкурсе социальных проектов и были приглашены для участия в Международном лагере «Байкал-2020». Их проект</w:t>
      </w:r>
      <w:r w:rsidR="00E646DC">
        <w:t xml:space="preserve"> получил </w:t>
      </w:r>
      <w:proofErr w:type="spellStart"/>
      <w:r w:rsidR="00E646DC">
        <w:t>грантовую</w:t>
      </w:r>
      <w:proofErr w:type="spellEnd"/>
      <w:r w:rsidR="00E646DC">
        <w:t xml:space="preserve"> поддержку в размере 100 тысяч рублей.</w:t>
      </w:r>
    </w:p>
    <w:p w:rsidR="00E646DC" w:rsidRDefault="00673B99" w:rsidP="00673B99">
      <w:pPr>
        <w:pStyle w:val="a3"/>
        <w:jc w:val="both"/>
      </w:pPr>
      <w:r>
        <w:t xml:space="preserve">           </w:t>
      </w:r>
      <w:r w:rsidR="00E646DC">
        <w:t>В ноябре 2016 года на территории района будет проводиться областная выездная акция «Молодежь Прибайкалья». Обучение в течение двух дней пройдет 100 человек.</w:t>
      </w:r>
    </w:p>
    <w:p w:rsidR="0027167E" w:rsidRDefault="00673B99" w:rsidP="00673B99">
      <w:pPr>
        <w:pStyle w:val="a3"/>
        <w:jc w:val="both"/>
      </w:pPr>
      <w:r>
        <w:t xml:space="preserve">           </w:t>
      </w:r>
      <w:r w:rsidR="00E646DC">
        <w:t>Ежегодно в летний период организуется занятость несовершеннолетних. Так в ЛТО было занято 199 человек, трудоустроено на предприятия района 18 человек. Второй год проводится межведомственная акция «Лето. Подросток. Занятость». Более 50 человек несовершеннолетних, в том числе из неблагополучных семей, в июле, августе были привлечены к различным мероприятиям.</w:t>
      </w:r>
    </w:p>
    <w:p w:rsidR="0027167E" w:rsidRDefault="00673B99" w:rsidP="00673B99">
      <w:pPr>
        <w:pStyle w:val="a3"/>
        <w:jc w:val="both"/>
      </w:pPr>
      <w:r>
        <w:t xml:space="preserve">           </w:t>
      </w:r>
      <w:r w:rsidR="0027167E">
        <w:t>Ежегодно среди обучающихся образовательных организаций проводится социально-психологическое тестирование на предмет раннего выявления немедицинского потребления наркотических средств и психотропных веществ.</w:t>
      </w:r>
    </w:p>
    <w:p w:rsidR="0027167E" w:rsidRDefault="00673B99" w:rsidP="00673B99">
      <w:pPr>
        <w:pStyle w:val="a3"/>
        <w:jc w:val="both"/>
      </w:pPr>
      <w:r>
        <w:t xml:space="preserve">           </w:t>
      </w:r>
      <w:r w:rsidR="0027167E">
        <w:t xml:space="preserve">В 2016 году прошли такое тестирование студенты </w:t>
      </w:r>
      <w:proofErr w:type="spellStart"/>
      <w:r w:rsidR="0027167E">
        <w:t>Бодайбинского</w:t>
      </w:r>
      <w:proofErr w:type="spellEnd"/>
      <w:r w:rsidR="0027167E">
        <w:t xml:space="preserve"> горного техникума. Тестированию подлежало 346 человек. Приняли участие в тестировании 210 человек (73%), подтвердили употребление наркотических средств 0 человек.</w:t>
      </w:r>
    </w:p>
    <w:p w:rsidR="0027167E" w:rsidRDefault="001F6A98" w:rsidP="00673B99">
      <w:pPr>
        <w:pStyle w:val="a3"/>
        <w:jc w:val="both"/>
      </w:pPr>
      <w:r>
        <w:t xml:space="preserve">           </w:t>
      </w:r>
      <w:r w:rsidR="0027167E">
        <w:t xml:space="preserve">Отдел по молодежной политике и спорту сотрудничает в своей работе с </w:t>
      </w:r>
      <w:proofErr w:type="spellStart"/>
      <w:r w:rsidR="0027167E">
        <w:t>антинаркотической</w:t>
      </w:r>
      <w:proofErr w:type="spellEnd"/>
      <w:r w:rsidR="0027167E">
        <w:t xml:space="preserve"> комиссией в </w:t>
      </w:r>
      <w:proofErr w:type="spellStart"/>
      <w:r w:rsidR="0027167E">
        <w:t>Бодайбинском</w:t>
      </w:r>
      <w:proofErr w:type="spellEnd"/>
      <w:r w:rsidR="0027167E">
        <w:t xml:space="preserve"> районе.</w:t>
      </w:r>
    </w:p>
    <w:p w:rsidR="00BF1D78" w:rsidRDefault="001F6A98" w:rsidP="00673B99">
      <w:pPr>
        <w:pStyle w:val="a3"/>
        <w:jc w:val="both"/>
      </w:pPr>
      <w:r>
        <w:t xml:space="preserve">           </w:t>
      </w:r>
      <w:r w:rsidR="0027167E">
        <w:t>На заседаниях комиссии рассматривались вопросы  о работе субъектов профилактики по организации занятости несовершеннолетних в летний период времени, состоящих на всех видах учета. Одним из решений комиссии по этому вопросу стало включить в план мероприятий летней оздоровительной кампании на 2017 год в п</w:t>
      </w:r>
      <w:proofErr w:type="gramStart"/>
      <w:r w:rsidR="0027167E">
        <w:t>.П</w:t>
      </w:r>
      <w:proofErr w:type="gramEnd"/>
      <w:r w:rsidR="0027167E">
        <w:t>еревоз разновозрастного профильного отряда</w:t>
      </w:r>
      <w:r w:rsidR="009B4869">
        <w:t xml:space="preserve"> на базе некоммерческой</w:t>
      </w:r>
      <w:r w:rsidR="00233E05">
        <w:t xml:space="preserve"> </w:t>
      </w:r>
      <w:r w:rsidR="009B4869">
        <w:t>организации коренных малочисленных народов «Кочевая эвенкийская община «Тайга».</w:t>
      </w:r>
    </w:p>
    <w:p w:rsidR="009B4869" w:rsidRDefault="001F6A98" w:rsidP="00673B99">
      <w:pPr>
        <w:pStyle w:val="a3"/>
        <w:jc w:val="both"/>
      </w:pPr>
      <w:r>
        <w:t xml:space="preserve">           </w:t>
      </w:r>
      <w:r w:rsidR="009B4869">
        <w:t xml:space="preserve">Одним из острых вопросов работы комиссии стал вопрос о мерах, направленных на снижение масштабов алкоголизации в </w:t>
      </w:r>
      <w:proofErr w:type="spellStart"/>
      <w:r w:rsidR="009B4869">
        <w:t>Бодайбинском</w:t>
      </w:r>
      <w:proofErr w:type="spellEnd"/>
      <w:r w:rsidR="009B4869">
        <w:t xml:space="preserve"> районе. Отделу по молодежной политике и спорту поручено активно </w:t>
      </w:r>
      <w:proofErr w:type="gramStart"/>
      <w:r w:rsidR="009B4869">
        <w:t>использовать</w:t>
      </w:r>
      <w:proofErr w:type="gramEnd"/>
      <w:r w:rsidR="009B4869">
        <w:t xml:space="preserve"> волонтерское движение в мероприятиях по противодействию алкоголизации населения и в первую очередь несовершеннолетних.</w:t>
      </w:r>
    </w:p>
    <w:p w:rsidR="00C535CB" w:rsidRDefault="00C535CB" w:rsidP="00673B99">
      <w:pPr>
        <w:pStyle w:val="a3"/>
        <w:jc w:val="both"/>
      </w:pPr>
      <w:r>
        <w:t xml:space="preserve">          Правоохранительными органами в 2016 году было раскрыто 3 преступления, связанных с незаконным оборотом наркотиков, 8 человек были привлечены к административной ответственности за свершение административных правонарушений, связанных с незаконным оборотом наркотиков.</w:t>
      </w:r>
    </w:p>
    <w:p w:rsidR="00673B99" w:rsidRDefault="001F6A98" w:rsidP="00673B99">
      <w:pPr>
        <w:pStyle w:val="a3"/>
        <w:jc w:val="both"/>
      </w:pPr>
      <w:r>
        <w:t xml:space="preserve">           </w:t>
      </w:r>
      <w:r w:rsidR="00673B99">
        <w:t>Ежеквартально отделом предоставляется информация в Единый банк данных, в котором отражаются мероприятия, проводимые правоохранительными органами, здравоохранением, образованием и молодежной политикой.</w:t>
      </w:r>
    </w:p>
    <w:p w:rsidR="00A31F00" w:rsidRDefault="00A31F00" w:rsidP="00673B99">
      <w:pPr>
        <w:pStyle w:val="a3"/>
        <w:jc w:val="both"/>
      </w:pPr>
      <w:r>
        <w:t xml:space="preserve">           На базе Детского оздоровительно-образовательного центра работает группа для несовершеннолетних, состоящих на всех видах учета. Проводятся соревнования по дворовому футболу, стрельбе, </w:t>
      </w:r>
      <w:proofErr w:type="spellStart"/>
      <w:r>
        <w:t>стритболу</w:t>
      </w:r>
      <w:proofErr w:type="spellEnd"/>
      <w:r>
        <w:t>, веселые старты для этой категории несовершеннолетних. Дети из малообеспеченных семей бесплатно могут воспользоваться услугами проката коньков в период работы катка.</w:t>
      </w:r>
    </w:p>
    <w:p w:rsidR="001F6A98" w:rsidRDefault="001F6A98" w:rsidP="00673B99">
      <w:pPr>
        <w:pStyle w:val="a3"/>
        <w:jc w:val="both"/>
      </w:pPr>
      <w:r>
        <w:t xml:space="preserve">          </w:t>
      </w:r>
    </w:p>
    <w:p w:rsidR="001F6A98" w:rsidRDefault="001F6A98" w:rsidP="00673B99">
      <w:pPr>
        <w:pStyle w:val="a3"/>
        <w:jc w:val="both"/>
      </w:pPr>
    </w:p>
    <w:p w:rsidR="009B4869" w:rsidRDefault="001F6A98" w:rsidP="00673B99">
      <w:pPr>
        <w:pStyle w:val="a3"/>
        <w:jc w:val="both"/>
      </w:pPr>
      <w:r>
        <w:t xml:space="preserve">            </w:t>
      </w:r>
      <w:r w:rsidR="009B4869">
        <w:t>Ожидаемые конечные результаты реализации Подпрограммы:</w:t>
      </w:r>
    </w:p>
    <w:p w:rsidR="001F6A98" w:rsidRDefault="001F6A98" w:rsidP="00673B99">
      <w:pPr>
        <w:pStyle w:val="a3"/>
        <w:jc w:val="both"/>
      </w:pPr>
    </w:p>
    <w:p w:rsidR="001F6A98" w:rsidRDefault="001F6A98" w:rsidP="00673B99">
      <w:pPr>
        <w:pStyle w:val="a3"/>
        <w:jc w:val="both"/>
      </w:pPr>
    </w:p>
    <w:p w:rsidR="001F6A98" w:rsidRDefault="001F6A98" w:rsidP="00673B99">
      <w:pPr>
        <w:pStyle w:val="a3"/>
        <w:jc w:val="both"/>
      </w:pPr>
    </w:p>
    <w:p w:rsidR="001F6A98" w:rsidRDefault="001F6A98" w:rsidP="00673B99">
      <w:pPr>
        <w:pStyle w:val="a3"/>
        <w:jc w:val="both"/>
      </w:pPr>
    </w:p>
    <w:p w:rsidR="00A45510" w:rsidRDefault="00A45510" w:rsidP="00673B99">
      <w:pPr>
        <w:pStyle w:val="a3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"/>
        <w:gridCol w:w="4452"/>
        <w:gridCol w:w="2127"/>
        <w:gridCol w:w="2409"/>
      </w:tblGrid>
      <w:tr w:rsidR="00A45510" w:rsidRPr="002F56A7" w:rsidTr="00A058F1">
        <w:trPr>
          <w:trHeight w:val="134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2F56A7" w:rsidRDefault="00A45510" w:rsidP="00673B99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  <w:r w:rsidRPr="002F56A7">
              <w:rPr>
                <w:rFonts w:eastAsia="Times New Roman"/>
                <w:b/>
                <w:szCs w:val="24"/>
              </w:rPr>
              <w:t>№</w:t>
            </w:r>
          </w:p>
          <w:p w:rsidR="00A45510" w:rsidRPr="002F56A7" w:rsidRDefault="00A45510" w:rsidP="00673B99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  <w:proofErr w:type="spellStart"/>
            <w:proofErr w:type="gramStart"/>
            <w:r w:rsidRPr="002F56A7">
              <w:rPr>
                <w:rFonts w:eastAsia="Times New Roman"/>
                <w:b/>
                <w:szCs w:val="24"/>
              </w:rPr>
              <w:t>п</w:t>
            </w:r>
            <w:proofErr w:type="spellEnd"/>
            <w:proofErr w:type="gramEnd"/>
            <w:r w:rsidRPr="002F56A7">
              <w:rPr>
                <w:rFonts w:eastAsia="Times New Roman"/>
                <w:b/>
                <w:szCs w:val="24"/>
              </w:rPr>
              <w:t>/</w:t>
            </w:r>
            <w:proofErr w:type="spellStart"/>
            <w:r w:rsidRPr="002F56A7">
              <w:rPr>
                <w:rFonts w:eastAsia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2F56A7" w:rsidRDefault="00A45510" w:rsidP="00673B99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</w:p>
          <w:p w:rsidR="00A45510" w:rsidRPr="002F56A7" w:rsidRDefault="009B4869" w:rsidP="00673B99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Целевой 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2F56A7" w:rsidRDefault="009B4869" w:rsidP="00673B99">
            <w:pPr>
              <w:spacing w:after="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10" w:rsidRPr="002F56A7" w:rsidRDefault="009B4869" w:rsidP="00673B99">
            <w:pPr>
              <w:spacing w:after="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Факт</w:t>
            </w:r>
          </w:p>
        </w:tc>
      </w:tr>
      <w:tr w:rsidR="00A45510" w:rsidRPr="00CD72BF" w:rsidTr="00A058F1">
        <w:trPr>
          <w:trHeight w:val="23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A45510" w:rsidP="00673B99">
            <w:pPr>
              <w:jc w:val="both"/>
              <w:rPr>
                <w:bCs/>
                <w:szCs w:val="24"/>
              </w:rPr>
            </w:pPr>
            <w:r w:rsidRPr="00CD72BF">
              <w:rPr>
                <w:bCs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B4869" w:rsidP="00673B99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>, прошедших обучение по образовательным программам профилактической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B4869">
              <w:rPr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10" w:rsidRPr="00CD72BF" w:rsidRDefault="009B4869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</w:tr>
      <w:tr w:rsidR="00A45510" w:rsidRPr="00CD72BF" w:rsidTr="00A058F1">
        <w:trPr>
          <w:trHeight w:val="133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A45510" w:rsidP="00673B99">
            <w:pPr>
              <w:jc w:val="both"/>
              <w:rPr>
                <w:bCs/>
                <w:szCs w:val="24"/>
              </w:rPr>
            </w:pPr>
            <w:r w:rsidRPr="00CD72BF">
              <w:rPr>
                <w:bCs/>
                <w:szCs w:val="24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B4869" w:rsidP="00673B99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численности несовершеннолетних, состоящих на всех видах учета от общей численности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10" w:rsidRPr="00CD72BF" w:rsidRDefault="00A31F00" w:rsidP="00A31F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</w:tr>
      <w:tr w:rsidR="00A45510" w:rsidRPr="00CD72BF" w:rsidTr="00A058F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A45510" w:rsidP="00673B99">
            <w:pPr>
              <w:jc w:val="both"/>
              <w:rPr>
                <w:bCs/>
                <w:szCs w:val="24"/>
              </w:rPr>
            </w:pPr>
            <w:r w:rsidRPr="00CD72BF">
              <w:rPr>
                <w:bCs/>
                <w:szCs w:val="24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Охват социально-психологическим тестированием обучающихся и студентов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10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73%</w:t>
            </w:r>
          </w:p>
          <w:p w:rsidR="00A45510" w:rsidRPr="00CD72BF" w:rsidRDefault="00A45510" w:rsidP="00673B99">
            <w:pPr>
              <w:jc w:val="both"/>
              <w:rPr>
                <w:szCs w:val="24"/>
              </w:rPr>
            </w:pPr>
          </w:p>
        </w:tc>
      </w:tr>
      <w:tr w:rsidR="00A45510" w:rsidRPr="00CD72BF" w:rsidTr="00A058F1">
        <w:trPr>
          <w:trHeight w:val="147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A45510" w:rsidP="00673B99">
            <w:pPr>
              <w:jc w:val="both"/>
              <w:rPr>
                <w:bCs/>
                <w:szCs w:val="24"/>
              </w:rPr>
            </w:pPr>
            <w:r w:rsidRPr="00CD72BF">
              <w:rPr>
                <w:bCs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keepNext/>
              <w:keepLines/>
              <w:pageBreakBefore/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численности обучающихся, прошедших экспертно-диагностическое тестирование на предмет употребления наркотических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0" w:rsidRPr="00CD72BF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10" w:rsidRPr="00CD72BF" w:rsidRDefault="009849FE" w:rsidP="00673B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831B6B" w:rsidRDefault="00831B6B" w:rsidP="00673B99">
      <w:pPr>
        <w:pStyle w:val="a3"/>
        <w:jc w:val="both"/>
      </w:pPr>
    </w:p>
    <w:p w:rsidR="009849FE" w:rsidRDefault="001F6A98" w:rsidP="00673B99">
      <w:pPr>
        <w:pStyle w:val="a3"/>
        <w:jc w:val="both"/>
      </w:pPr>
      <w:r>
        <w:t xml:space="preserve">            </w:t>
      </w:r>
      <w:r w:rsidR="009849FE">
        <w:t xml:space="preserve">Для проведения экспертно-диагностического тестирования необходима большая предварительная работа с родителями. С этой же целью </w:t>
      </w:r>
      <w:proofErr w:type="gramStart"/>
      <w:r w:rsidR="009849FE">
        <w:t>в Министерство по молодежной политике Иркутской области направлена заявка на обучение специалиста по работе на аппарате</w:t>
      </w:r>
      <w:proofErr w:type="gramEnd"/>
      <w:r w:rsidR="009849FE">
        <w:t xml:space="preserve"> «Лира-100».</w:t>
      </w:r>
    </w:p>
    <w:p w:rsidR="00043F68" w:rsidRDefault="00773AB0" w:rsidP="00673B99">
      <w:pPr>
        <w:pStyle w:val="a3"/>
        <w:jc w:val="both"/>
      </w:pPr>
      <w:r>
        <w:t xml:space="preserve">           </w:t>
      </w:r>
      <w:r w:rsidR="00B15CE8">
        <w:t>Анализ работы за</w:t>
      </w:r>
      <w:r w:rsidR="00673B99">
        <w:t xml:space="preserve"> 9 месяцев</w:t>
      </w:r>
      <w:r w:rsidR="00B15CE8">
        <w:t xml:space="preserve"> 201</w:t>
      </w:r>
      <w:r w:rsidR="00673B99">
        <w:t>6</w:t>
      </w:r>
      <w:r w:rsidR="00B15CE8">
        <w:t xml:space="preserve"> год</w:t>
      </w:r>
      <w:r w:rsidR="00673B99">
        <w:t>а</w:t>
      </w:r>
      <w:r w:rsidR="00B15CE8">
        <w:t xml:space="preserve"> показывает </w:t>
      </w:r>
      <w:r w:rsidR="00673B99">
        <w:t xml:space="preserve">необходимость проведения акций, </w:t>
      </w:r>
      <w:proofErr w:type="spellStart"/>
      <w:r w:rsidR="00673B99">
        <w:t>флэмобов</w:t>
      </w:r>
      <w:proofErr w:type="spellEnd"/>
      <w:r w:rsidR="00673B99">
        <w:t xml:space="preserve"> с привлечением волонтеров, продолжать развитие волонтерского движения по направлению профилактики асоциальных явлений в молодежной среде. Включить в мероприятия на 2017 год работу с родителями по проведению экспертно-диагностического исследования с целью раннего выявления потребителей наркотических средств и психотропных веществ.</w:t>
      </w:r>
    </w:p>
    <w:p w:rsidR="00CB1551" w:rsidRDefault="00CB1551" w:rsidP="00673B99">
      <w:pPr>
        <w:pStyle w:val="a3"/>
        <w:jc w:val="both"/>
      </w:pPr>
    </w:p>
    <w:p w:rsidR="00CB1551" w:rsidRDefault="00CB1551" w:rsidP="00673B99">
      <w:pPr>
        <w:pStyle w:val="a3"/>
        <w:jc w:val="both"/>
      </w:pPr>
    </w:p>
    <w:p w:rsidR="00CB1551" w:rsidRDefault="00CB1551" w:rsidP="00673B99">
      <w:pPr>
        <w:pStyle w:val="a3"/>
        <w:jc w:val="both"/>
      </w:pPr>
    </w:p>
    <w:p w:rsidR="00CB1551" w:rsidRDefault="00CB1551" w:rsidP="00673B99">
      <w:pPr>
        <w:pStyle w:val="a3"/>
        <w:jc w:val="both"/>
      </w:pPr>
    </w:p>
    <w:p w:rsidR="00CB1551" w:rsidRPr="00EB6903" w:rsidRDefault="001F6A98" w:rsidP="00673B99">
      <w:pPr>
        <w:pStyle w:val="a3"/>
        <w:jc w:val="both"/>
      </w:pPr>
      <w:r>
        <w:t xml:space="preserve">      </w:t>
      </w:r>
      <w:r w:rsidR="00CB1551">
        <w:t>Начальник отдела по МП и</w:t>
      </w:r>
      <w:proofErr w:type="gramStart"/>
      <w:r w:rsidR="00CB1551">
        <w:t xml:space="preserve"> С</w:t>
      </w:r>
      <w:proofErr w:type="gramEnd"/>
      <w:r w:rsidR="00CB1551">
        <w:t xml:space="preserve">                                                    И.С.Ворожцова</w:t>
      </w:r>
    </w:p>
    <w:p w:rsidR="002B61D3" w:rsidRPr="002B61D3" w:rsidRDefault="002B61D3" w:rsidP="002B61D3">
      <w:pPr>
        <w:jc w:val="right"/>
        <w:rPr>
          <w:b/>
        </w:rPr>
      </w:pPr>
    </w:p>
    <w:sectPr w:rsidR="002B61D3" w:rsidRPr="002B61D3" w:rsidSect="00E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D3"/>
    <w:rsid w:val="0001068B"/>
    <w:rsid w:val="00043F68"/>
    <w:rsid w:val="00067BDA"/>
    <w:rsid w:val="00081195"/>
    <w:rsid w:val="000C09A5"/>
    <w:rsid w:val="000C0BB9"/>
    <w:rsid w:val="001D7C60"/>
    <w:rsid w:val="001F6A98"/>
    <w:rsid w:val="00233E05"/>
    <w:rsid w:val="0027167E"/>
    <w:rsid w:val="002B61D3"/>
    <w:rsid w:val="002C2ECB"/>
    <w:rsid w:val="002F28D9"/>
    <w:rsid w:val="003C0ACF"/>
    <w:rsid w:val="003D5765"/>
    <w:rsid w:val="004A318E"/>
    <w:rsid w:val="00561723"/>
    <w:rsid w:val="00595F58"/>
    <w:rsid w:val="00601204"/>
    <w:rsid w:val="006432ED"/>
    <w:rsid w:val="00673B99"/>
    <w:rsid w:val="006E0C5C"/>
    <w:rsid w:val="006E4F03"/>
    <w:rsid w:val="00773AB0"/>
    <w:rsid w:val="00784981"/>
    <w:rsid w:val="007B0D0D"/>
    <w:rsid w:val="007D3F4E"/>
    <w:rsid w:val="00831B6B"/>
    <w:rsid w:val="0083315C"/>
    <w:rsid w:val="00890865"/>
    <w:rsid w:val="008F6E58"/>
    <w:rsid w:val="00975C4C"/>
    <w:rsid w:val="009849FE"/>
    <w:rsid w:val="009B4869"/>
    <w:rsid w:val="009C033A"/>
    <w:rsid w:val="00A31F00"/>
    <w:rsid w:val="00A45510"/>
    <w:rsid w:val="00A606CD"/>
    <w:rsid w:val="00A7545B"/>
    <w:rsid w:val="00B15CE8"/>
    <w:rsid w:val="00B577E0"/>
    <w:rsid w:val="00BF1D78"/>
    <w:rsid w:val="00C156D0"/>
    <w:rsid w:val="00C42301"/>
    <w:rsid w:val="00C535CB"/>
    <w:rsid w:val="00C77398"/>
    <w:rsid w:val="00C962BF"/>
    <w:rsid w:val="00CB1551"/>
    <w:rsid w:val="00D260C7"/>
    <w:rsid w:val="00D65C2E"/>
    <w:rsid w:val="00DE6178"/>
    <w:rsid w:val="00E646DC"/>
    <w:rsid w:val="00EB0599"/>
    <w:rsid w:val="00EB6903"/>
    <w:rsid w:val="00EE112D"/>
    <w:rsid w:val="00F571E5"/>
    <w:rsid w:val="00F831AC"/>
    <w:rsid w:val="00FD1D67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9A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Мастер спорта</cp:lastModifiedBy>
  <cp:revision>12</cp:revision>
  <cp:lastPrinted>2016-11-02T03:59:00Z</cp:lastPrinted>
  <dcterms:created xsi:type="dcterms:W3CDTF">2014-11-27T04:52:00Z</dcterms:created>
  <dcterms:modified xsi:type="dcterms:W3CDTF">2016-11-02T04:01:00Z</dcterms:modified>
</cp:coreProperties>
</file>