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9E" w:rsidRDefault="00CE7E9E" w:rsidP="00234849">
      <w:pPr>
        <w:pStyle w:val="a4"/>
        <w:ind w:firstLine="709"/>
        <w:rPr>
          <w:rFonts w:cs="Times New Roman"/>
          <w:sz w:val="24"/>
          <w:szCs w:val="24"/>
        </w:rPr>
      </w:pPr>
      <w:bookmarkStart w:id="0" w:name="sub_555"/>
      <w:bookmarkStart w:id="1" w:name="_GoBack"/>
      <w:r>
        <w:rPr>
          <w:rFonts w:cs="Times New Roman"/>
          <w:sz w:val="24"/>
          <w:szCs w:val="24"/>
        </w:rPr>
        <w:t>Информация</w:t>
      </w:r>
    </w:p>
    <w:bookmarkEnd w:id="1"/>
    <w:p w:rsidR="00CE7E9E" w:rsidRDefault="00CE7E9E" w:rsidP="00CE7E9E">
      <w:pPr>
        <w:pStyle w:val="a4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  исполнении долгосрочных муниципальных программ </w:t>
      </w:r>
      <w:proofErr w:type="gramStart"/>
      <w:r>
        <w:rPr>
          <w:rFonts w:cs="Times New Roman"/>
          <w:sz w:val="24"/>
          <w:szCs w:val="24"/>
        </w:rPr>
        <w:t>муниципального</w:t>
      </w:r>
      <w:proofErr w:type="gramEnd"/>
      <w:r>
        <w:rPr>
          <w:rFonts w:cs="Times New Roman"/>
          <w:sz w:val="24"/>
          <w:szCs w:val="24"/>
        </w:rPr>
        <w:t xml:space="preserve"> </w:t>
      </w:r>
    </w:p>
    <w:p w:rsidR="00CE7E9E" w:rsidRDefault="00CE7E9E" w:rsidP="00CE7E9E">
      <w:pPr>
        <w:pStyle w:val="a4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образования г. Бодайбо и района в 2013 году</w:t>
      </w:r>
    </w:p>
    <w:p w:rsidR="00CE7E9E" w:rsidRDefault="00CE7E9E" w:rsidP="00CE7E9E">
      <w:pPr>
        <w:pStyle w:val="a8"/>
        <w:rPr>
          <w:sz w:val="24"/>
          <w:szCs w:val="24"/>
          <w:highlight w:val="lightGray"/>
        </w:rPr>
      </w:pPr>
    </w:p>
    <w:p w:rsidR="00CE7E9E" w:rsidRDefault="00CE7E9E" w:rsidP="00CE7E9E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г. Бодайбо и района в 2013 году действуют 19 муниципальных программ. Перечень целевых программ и информация по плановому и фактическому финансированию приведена в табл.</w:t>
      </w:r>
    </w:p>
    <w:p w:rsidR="00CE7E9E" w:rsidRDefault="00CE7E9E" w:rsidP="00CE7E9E">
      <w:pPr>
        <w:pStyle w:val="a3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</w:t>
      </w:r>
    </w:p>
    <w:p w:rsidR="00CE7E9E" w:rsidRDefault="00CE7E9E" w:rsidP="00CE7E9E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муниципальных целевых программ и </w:t>
      </w:r>
    </w:p>
    <w:p w:rsidR="00CE7E9E" w:rsidRDefault="00CE7E9E" w:rsidP="00CE7E9E">
      <w:pPr>
        <w:pStyle w:val="a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по их плановому и фактическому финансированию</w:t>
      </w:r>
    </w:p>
    <w:p w:rsidR="00CE7E9E" w:rsidRDefault="00CE7E9E" w:rsidP="00CE7E9E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04"/>
        <w:gridCol w:w="1325"/>
        <w:gridCol w:w="1446"/>
        <w:gridCol w:w="1106"/>
        <w:gridCol w:w="992"/>
      </w:tblGrid>
      <w:tr w:rsidR="00CE7E9E" w:rsidTr="0079024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из бюджета МО г. Бодайбо и района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 состоянию на 21.08.2013г</w:t>
            </w:r>
          </w:p>
        </w:tc>
      </w:tr>
      <w:tr w:rsidR="00CE7E9E" w:rsidTr="0079024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%%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7E9E" w:rsidTr="0079024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Исполнители: Управление образования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left="-71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ДМЦП </w:t>
            </w:r>
            <w:r>
              <w:rPr>
                <w:bCs/>
                <w:sz w:val="24"/>
                <w:szCs w:val="24"/>
              </w:rPr>
              <w:t>«Развитие системы образования г. Бодайбо и района на 2013-2015 годы»</w:t>
            </w:r>
            <w:r>
              <w:rPr>
                <w:sz w:val="24"/>
                <w:szCs w:val="24"/>
              </w:rPr>
              <w:t>, утв. постановлением администрации  г. Бодайбо и района от 20.09.2012 г № 495-п – всего,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11658,5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подпрограммы: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left="-679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>«Управление материальными ресурсами»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left="-392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>«Модернизация единой информационной образовательной сети»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860,2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CE7E9E" w:rsidTr="00790247">
        <w:trPr>
          <w:trHeight w:val="4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tabs>
                <w:tab w:val="left" w:pos="34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jc w:val="center"/>
              <w:rPr>
                <w:rFonts w:eastAsia="Calibri"/>
              </w:rPr>
            </w:pPr>
          </w:p>
          <w:p w:rsidR="00CE7E9E" w:rsidRDefault="00CE7E9E" w:rsidP="00790247">
            <w:r>
              <w:t>«Здоровье и образование»</w:t>
            </w:r>
          </w:p>
          <w:p w:rsidR="00CE7E9E" w:rsidRDefault="00CE7E9E" w:rsidP="00790247">
            <w:pPr>
              <w:jc w:val="center"/>
              <w:rPr>
                <w:rFonts w:eastAsia="Calibri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324,6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 xml:space="preserve">«Дети </w:t>
            </w:r>
            <w:proofErr w:type="spellStart"/>
            <w:r>
              <w:t>Привитимья</w:t>
            </w:r>
            <w:proofErr w:type="spellEnd"/>
            <w:r>
              <w:t>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615,7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>«Управление кадровыми ресурсами»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2919,5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935,8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- 1983,7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«Организация оздоровления, отдыха и занятости детей и подростков Бодайбинского района в летнее время»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2603,2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«Оплата набора продуктов питания в лагерях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дневным</w:t>
            </w:r>
            <w:proofErr w:type="gramEnd"/>
            <w:r>
              <w:t xml:space="preserve"> пребываем детей, организованных органами местного самоуправления в летнее время»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ДМЦП «Организация и обеспечение отдыха и оздоровления детей на территории МО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одайбо</w:t>
            </w:r>
            <w:proofErr w:type="spellEnd"/>
            <w:r>
              <w:t xml:space="preserve"> и района» на 2013-2014 годы, утв. пост. администрации </w:t>
            </w:r>
            <w:proofErr w:type="spellStart"/>
            <w:r>
              <w:t>г.Бодайбо</w:t>
            </w:r>
            <w:proofErr w:type="spellEnd"/>
            <w:r>
              <w:t xml:space="preserve"> и района от 17.07.2012 г. № 382-п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ДМЦП «Совершенствование организации питания в общеобразовательных учреждениях, </w:t>
            </w:r>
            <w:r>
              <w:lastRenderedPageBreak/>
              <w:t xml:space="preserve">расположенных на территории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одайбо</w:t>
            </w:r>
            <w:proofErr w:type="spellEnd"/>
            <w:r>
              <w:t xml:space="preserve"> и района» на 2012-2014 годы, утв. постановлением администрации г. Бодайбо и района от 02.04.2011 г. № 167-пп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ДМЦП «Обеспечение безопасности на объектах образования» на 2011-2013 годы, утв. постановлением администрации г. Бодайбо и района от 123.11.2010 г №525-п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7112,5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4096,2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</w:tr>
      <w:tr w:rsidR="00CE7E9E" w:rsidTr="0079024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Исполнители: Управление Культуры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Районная ЦП </w:t>
            </w:r>
            <w:r>
              <w:rPr>
                <w:bCs/>
              </w:rPr>
              <w:t>«Развитие учреждений культуры г. Бодайбо и района на 2009-2013 годы»</w:t>
            </w:r>
            <w:r>
              <w:t>, 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г. Бодайбо и района от 20.10.2009г № 539-п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210,0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ind w:firstLine="35"/>
            </w:pPr>
            <w:r>
              <w:t>ДМЦП</w:t>
            </w:r>
            <w:r>
              <w:rPr>
                <w:bCs/>
              </w:rPr>
              <w:t xml:space="preserve"> «Модернизация клуба пос. Кропоткин, п. </w:t>
            </w:r>
            <w:proofErr w:type="spellStart"/>
            <w:r>
              <w:rPr>
                <w:bCs/>
              </w:rPr>
              <w:t>Балахнинский</w:t>
            </w:r>
            <w:proofErr w:type="spellEnd"/>
            <w:r>
              <w:rPr>
                <w:bCs/>
              </w:rPr>
              <w:t xml:space="preserve"> на 2011-2014 годы», </w:t>
            </w:r>
            <w:r>
              <w:t>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эра г. Бодайбо и района от 09.09.2011г № 466-п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799,8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right="-11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>ДМЦП «Публичный центр правовой, деловой и социально значимой информации городской библиотеки г. Бодайбо» на 2013-2014 годы, 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г. Бодайбо и района от 22.07.2013 г. № 435-п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rPr>
                <w:rFonts w:eastAsia="Calibri"/>
                <w:bCs/>
              </w:rPr>
            </w:pPr>
            <w:r>
              <w:t>ДМЦП</w:t>
            </w:r>
            <w:r>
              <w:rPr>
                <w:bCs/>
              </w:rPr>
              <w:t xml:space="preserve"> «Обеспечение безопасности учреждений культуры г. Бодайбо и района в чрезвычайных ситуациях» на 2013-2016 годы, утв. пост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а</w:t>
            </w:r>
            <w:proofErr w:type="gramEnd"/>
            <w:r>
              <w:rPr>
                <w:bCs/>
              </w:rPr>
              <w:t>дминистрации г. Бодайбо и района от 18.02.2013г № 105-пп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843,5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-144,4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</w:tr>
      <w:tr w:rsidR="00CE7E9E" w:rsidTr="00790247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Исполнитель – Отдел по молодежной политике и спорту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ДМЦП «Развитие физической культуры и спорта в </w:t>
            </w:r>
            <w:proofErr w:type="spellStart"/>
            <w:r>
              <w:t>Бодайбинском</w:t>
            </w:r>
            <w:proofErr w:type="spellEnd"/>
            <w:r>
              <w:t xml:space="preserve"> районе» на 2013-2015 годы, 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г. Бодайбо и района от 12.10.2012 г. № 546-п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1911,7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инженерно-изыскательские работы строительства ФОК на территории МОУ СОШ № 1 (исполнитель – УКС)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ДМЦП </w:t>
            </w:r>
            <w:r>
              <w:rPr>
                <w:bCs/>
              </w:rPr>
              <w:t xml:space="preserve">«Строительство много-функциональной спортивной площадки с искусственным покрытием в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одайбо</w:t>
            </w:r>
            <w:proofErr w:type="spellEnd"/>
            <w:r>
              <w:rPr>
                <w:bCs/>
              </w:rPr>
              <w:t>» на 2012-2013 годы, утв. пост. администрации г. Бодайбо и района от 02.10.2012 г, № 513-п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ДМЦП </w:t>
            </w:r>
            <w:r>
              <w:rPr>
                <w:bCs/>
              </w:rPr>
              <w:t>«Развитие лыжного спорта в муниципальном образовании г. Бодайбо и района на 2012-2013 годы»</w:t>
            </w:r>
            <w:r>
              <w:t xml:space="preserve">, </w:t>
            </w:r>
            <w:r>
              <w:lastRenderedPageBreak/>
              <w:t>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 г. Бодайбо и района 10.05.2012г № 256-п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2892,0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2716,2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Pr="00786C96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 w:rsidRPr="00786C96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2</w:t>
            </w:r>
            <w:r w:rsidRPr="00786C96">
              <w:rPr>
                <w:sz w:val="24"/>
                <w:szCs w:val="24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786C96" w:rsidRDefault="00CE7E9E" w:rsidP="00790247">
            <w:r w:rsidRPr="00786C96">
              <w:t xml:space="preserve">ДМСП </w:t>
            </w:r>
            <w:r w:rsidRPr="00786C96">
              <w:rPr>
                <w:bCs/>
              </w:rPr>
              <w:t>«Молодым семьям – доступное жилье на 2011-2019 годы»</w:t>
            </w:r>
            <w:r w:rsidRPr="00786C96">
              <w:t>, утв. пост</w:t>
            </w:r>
            <w:proofErr w:type="gramStart"/>
            <w:r w:rsidRPr="00786C96">
              <w:t>.</w:t>
            </w:r>
            <w:proofErr w:type="gramEnd"/>
            <w:r w:rsidRPr="00786C96">
              <w:t xml:space="preserve"> </w:t>
            </w:r>
            <w:proofErr w:type="gramStart"/>
            <w:r w:rsidRPr="00786C96">
              <w:t>а</w:t>
            </w:r>
            <w:proofErr w:type="gramEnd"/>
            <w:r w:rsidRPr="00786C96">
              <w:t>дминистрации г. Бодайбо и района от 14.10.2010г № 420-п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786C96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786C96">
              <w:rPr>
                <w:sz w:val="24"/>
                <w:szCs w:val="24"/>
              </w:rPr>
              <w:t>1 000,0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210,8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786C96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786C96">
              <w:rPr>
                <w:sz w:val="24"/>
                <w:szCs w:val="24"/>
              </w:rPr>
              <w:t>-789,2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786C96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786C96">
              <w:rPr>
                <w:sz w:val="24"/>
                <w:szCs w:val="24"/>
              </w:rPr>
              <w:t>21,1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7E9E" w:rsidTr="00790247">
        <w:trPr>
          <w:trHeight w:val="24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r>
              <w:t xml:space="preserve">ДМЦП «Комплексные меры по профилактике социально-негативных явлений и предупреждения правонарушений среди несовершеннолетних и молодежи в </w:t>
            </w:r>
            <w:proofErr w:type="spellStart"/>
            <w:r>
              <w:t>Бодайбинском</w:t>
            </w:r>
            <w:proofErr w:type="spellEnd"/>
            <w:r>
              <w:t xml:space="preserve"> районе» на 2012-2013 годы, 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г. Бодайбо и района от 08.11.2012г № 605-п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49,9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Исполнитель – Администрация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одайбо</w:t>
            </w:r>
            <w:proofErr w:type="spellEnd"/>
            <w:r>
              <w:rPr>
                <w:sz w:val="24"/>
              </w:rPr>
              <w:t xml:space="preserve"> и района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ind w:firstLine="35"/>
            </w:pPr>
            <w:r>
              <w:t xml:space="preserve">ДМЦП </w:t>
            </w:r>
            <w:r>
              <w:rPr>
                <w:bCs/>
              </w:rPr>
              <w:t>«Содействие развитию малого и среднего предпринимательства в муниципальном образовании г. Бодайбо и района на 2011-2013 годы»</w:t>
            </w:r>
            <w:r>
              <w:t>, 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г. Бодайбо и района от 14.09.2010г № 421-пп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ind w:firstLine="35"/>
              <w:rPr>
                <w:rFonts w:eastAsia="Calibri"/>
              </w:rPr>
            </w:pPr>
            <w:r>
              <w:t xml:space="preserve">ДМЦП </w:t>
            </w:r>
            <w:r>
              <w:rPr>
                <w:bCs/>
              </w:rPr>
              <w:t xml:space="preserve">«Энергосбережение и повышение энергетической </w:t>
            </w:r>
            <w:proofErr w:type="spellStart"/>
            <w:r>
              <w:rPr>
                <w:bCs/>
              </w:rPr>
              <w:t>эффе-ктивности</w:t>
            </w:r>
            <w:proofErr w:type="spellEnd"/>
            <w:r>
              <w:rPr>
                <w:bCs/>
              </w:rPr>
              <w:t xml:space="preserve"> в г. Бодайбо и районе на 2010-2015 годы»</w:t>
            </w:r>
            <w:r>
              <w:t>, 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г. Бодайбо и района от 16.12.2010г № 591-п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117,4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9E" w:rsidRDefault="00CE7E9E" w:rsidP="00790247">
            <w:pPr>
              <w:rPr>
                <w:rFonts w:eastAsia="Calibri"/>
              </w:rPr>
            </w:pPr>
            <w:r>
              <w:t xml:space="preserve">ДМЦП </w:t>
            </w:r>
            <w:r>
              <w:rPr>
                <w:bCs/>
              </w:rPr>
              <w:t xml:space="preserve">«Профилактика правонарушений в </w:t>
            </w:r>
            <w:proofErr w:type="spellStart"/>
            <w:r>
              <w:rPr>
                <w:bCs/>
              </w:rPr>
              <w:t>Бодайбинском</w:t>
            </w:r>
            <w:proofErr w:type="spellEnd"/>
            <w:r>
              <w:rPr>
                <w:bCs/>
              </w:rPr>
              <w:t xml:space="preserve"> районе на 2011-2015 годы», </w:t>
            </w:r>
            <w:r>
              <w:t>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г. Бодайбо и района от 14.12.2010г № 587-п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475,5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rPr>
                <w:rFonts w:eastAsia="Calibri"/>
              </w:rPr>
            </w:pPr>
            <w:r>
              <w:t xml:space="preserve">ДМЦП </w:t>
            </w:r>
            <w:r>
              <w:rPr>
                <w:bCs/>
              </w:rPr>
              <w:t>«Повышение безопасности дорожного движения в муниципальном образовании г. Бодайбо и района на 2011-2013 годы»</w:t>
            </w:r>
            <w:r>
              <w:t>, утв.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дминистрации  г. Бодайбо и района от 09.09.2011г № 468-п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937D13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97,4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ind w:firstLine="35"/>
              <w:rPr>
                <w:rFonts w:eastAsia="Calibri"/>
              </w:rPr>
            </w:pPr>
            <w:r>
              <w:t>ДМЦП «Повышение эффективности бюджетных расходов МО г. Бодайбо и района на 2012-2013 годы»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Pr="00937D13" w:rsidRDefault="00CE7E9E" w:rsidP="00790247">
            <w:pPr>
              <w:pStyle w:val="a6"/>
              <w:ind w:hanging="58"/>
              <w:jc w:val="center"/>
              <w:rPr>
                <w:sz w:val="24"/>
                <w:szCs w:val="24"/>
              </w:rPr>
            </w:pPr>
            <w:r w:rsidRPr="00937D13">
              <w:rPr>
                <w:sz w:val="24"/>
                <w:szCs w:val="24"/>
              </w:rPr>
              <w:t>11541,0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rPr>
                <w:rFonts w:eastAsia="Calibri"/>
              </w:rPr>
            </w:pPr>
            <w:r>
              <w:t xml:space="preserve">ДМЦП </w:t>
            </w:r>
            <w:r>
              <w:rPr>
                <w:bCs/>
              </w:rPr>
              <w:t xml:space="preserve">«Строительство 16-ти квартирного жилого дома для работников казенных, бюджетных учреждений МО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.и</w:t>
            </w:r>
            <w:proofErr w:type="spellEnd"/>
            <w:proofErr w:type="gramEnd"/>
            <w:r>
              <w:rPr>
                <w:bCs/>
              </w:rPr>
              <w:t xml:space="preserve"> района в г. Бодайбо» на 2013-2015 годы»</w:t>
            </w:r>
            <w:r>
              <w:t>, утв. пост. администрации г. Бодайбо и района от 11.10.2012 г. № 540-п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E9E" w:rsidTr="0079024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pStyle w:val="a6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9E" w:rsidRDefault="00CE7E9E" w:rsidP="00790247">
            <w:pPr>
              <w:ind w:firstLine="35"/>
            </w:pPr>
            <w:r>
              <w:t>Всего: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60 409,0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29 649,6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-30759,4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9E" w:rsidRDefault="00CE7E9E" w:rsidP="0079024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</w:tbl>
    <w:p w:rsidR="00CE7E9E" w:rsidRDefault="00CE7E9E" w:rsidP="00CE7E9E">
      <w:pPr>
        <w:pStyle w:val="a6"/>
        <w:ind w:firstLine="709"/>
        <w:jc w:val="center"/>
        <w:rPr>
          <w:sz w:val="24"/>
          <w:szCs w:val="24"/>
        </w:rPr>
      </w:pPr>
    </w:p>
    <w:p w:rsidR="00CE7E9E" w:rsidRDefault="00CE7E9E" w:rsidP="00CE7E9E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Фактически из бюджета МО г. Бодайбо и района профинансированы мероприятия муниципальных программ на 49,1% от запланированных ассигнований на год. </w:t>
      </w:r>
    </w:p>
    <w:p w:rsidR="00CE7E9E" w:rsidRDefault="00CE7E9E" w:rsidP="00CE7E9E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Планируется до конца года профинансировать мероприятия следующих программ: </w:t>
      </w:r>
    </w:p>
    <w:p w:rsidR="00CE7E9E" w:rsidRDefault="00CE7E9E" w:rsidP="00CE7E9E">
      <w:pPr>
        <w:pStyle w:val="Style1"/>
        <w:widowControl/>
        <w:spacing w:line="240" w:lineRule="auto"/>
        <w:ind w:firstLine="709"/>
        <w:jc w:val="both"/>
      </w:pPr>
      <w:r w:rsidRPr="00A125FD">
        <w:t>1. ДМЦП «</w:t>
      </w:r>
      <w:r w:rsidRPr="00A125FD">
        <w:rPr>
          <w:bCs/>
        </w:rPr>
        <w:t xml:space="preserve">«Молодым семьям – доступное жилье на 2011-2019 годы» - после заключения в сентябре 2013 года Соглашения </w:t>
      </w:r>
      <w:r w:rsidRPr="00A125FD">
        <w:rPr>
          <w:b/>
        </w:rPr>
        <w:t xml:space="preserve"> </w:t>
      </w:r>
      <w:r w:rsidRPr="00A125FD">
        <w:rPr>
          <w:rStyle w:val="FontStyle11"/>
        </w:rPr>
        <w:t>об участии в реализации мероприятий областной государственной социальной программы «Молодым семьям - доступное жилье» на 2005-2019 годы в 2013 году</w:t>
      </w:r>
      <w:r>
        <w:rPr>
          <w:rStyle w:val="FontStyle11"/>
        </w:rPr>
        <w:t xml:space="preserve"> и выдачи Сертификатов три семьи получат субсидии на улучшение жилищных условий.</w:t>
      </w:r>
    </w:p>
    <w:p w:rsidR="00CE7E9E" w:rsidRDefault="00CE7E9E" w:rsidP="00CE7E9E">
      <w:pPr>
        <w:pStyle w:val="a6"/>
        <w:ind w:firstLine="709"/>
        <w:rPr>
          <w:sz w:val="24"/>
          <w:szCs w:val="24"/>
        </w:rPr>
      </w:pPr>
      <w:r>
        <w:rPr>
          <w:sz w:val="24"/>
        </w:rPr>
        <w:t xml:space="preserve">2. ДМЦП </w:t>
      </w:r>
      <w:r>
        <w:rPr>
          <w:bCs/>
          <w:sz w:val="24"/>
        </w:rPr>
        <w:t xml:space="preserve">«Содействие развитию малого и среднего предпринимательства в муниципальном образовании г. Бодайбо и района на 2011-2013 годы» - в Программе на 2013 год предусмотрены ассигнования в сумме 250,0 </w:t>
      </w:r>
      <w:proofErr w:type="spellStart"/>
      <w:r>
        <w:rPr>
          <w:bCs/>
          <w:sz w:val="24"/>
        </w:rPr>
        <w:t>тыс</w:t>
      </w:r>
      <w:proofErr w:type="gramStart"/>
      <w:r>
        <w:rPr>
          <w:bCs/>
          <w:sz w:val="24"/>
        </w:rPr>
        <w:t>.р</w:t>
      </w:r>
      <w:proofErr w:type="gramEnd"/>
      <w:r>
        <w:rPr>
          <w:bCs/>
          <w:sz w:val="24"/>
        </w:rPr>
        <w:t>уб</w:t>
      </w:r>
      <w:proofErr w:type="spellEnd"/>
      <w:r>
        <w:rPr>
          <w:bCs/>
          <w:sz w:val="24"/>
        </w:rPr>
        <w:t xml:space="preserve">., которые будут направлены на </w:t>
      </w:r>
      <w:proofErr w:type="spellStart"/>
      <w:r>
        <w:rPr>
          <w:bCs/>
          <w:sz w:val="24"/>
        </w:rPr>
        <w:t>софинансирование</w:t>
      </w:r>
      <w:proofErr w:type="spellEnd"/>
      <w:r>
        <w:rPr>
          <w:bCs/>
          <w:sz w:val="24"/>
        </w:rPr>
        <w:t xml:space="preserve"> субсидий из федерального и областного бюджетов на развитие субъектов малого и среднего предпринимательства Бодайбинского района по поддержке начинающих – гранты начинающим на создание собственного бизнеса. Гранты будут выданы по итогам конкурса, который планируется провести в сентябре-октябре 2013 года.  </w:t>
      </w:r>
    </w:p>
    <w:p w:rsidR="00CE7E9E" w:rsidRPr="00937104" w:rsidRDefault="00CE7E9E" w:rsidP="00CE7E9E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2" w:lineRule="auto"/>
      </w:pPr>
      <w:bookmarkStart w:id="2" w:name="_Toc300843473"/>
      <w:r>
        <w:t xml:space="preserve">3. </w:t>
      </w:r>
      <w:proofErr w:type="gramStart"/>
      <w:r>
        <w:t xml:space="preserve">ДМЦП </w:t>
      </w:r>
      <w:r>
        <w:rPr>
          <w:bCs/>
        </w:rPr>
        <w:t xml:space="preserve">«Энергосбережение и повышение энергетической эффективности в г. Бодайбо и </w:t>
      </w:r>
      <w:r w:rsidRPr="00937104">
        <w:rPr>
          <w:bCs/>
        </w:rPr>
        <w:t xml:space="preserve">районе на 2010-2015 годы» - </w:t>
      </w:r>
      <w:r>
        <w:rPr>
          <w:bCs/>
        </w:rPr>
        <w:t xml:space="preserve">в настоящее время </w:t>
      </w:r>
      <w:r w:rsidRPr="00937104">
        <w:rPr>
          <w:bCs/>
        </w:rPr>
        <w:t xml:space="preserve">работа </w:t>
      </w:r>
      <w:r>
        <w:rPr>
          <w:bCs/>
        </w:rPr>
        <w:t>ведется</w:t>
      </w:r>
      <w:r w:rsidRPr="00937104">
        <w:rPr>
          <w:bCs/>
        </w:rPr>
        <w:t xml:space="preserve"> </w:t>
      </w:r>
      <w:r>
        <w:rPr>
          <w:bCs/>
        </w:rPr>
        <w:t>по согласованию</w:t>
      </w:r>
      <w:r w:rsidRPr="00937104">
        <w:rPr>
          <w:bCs/>
        </w:rPr>
        <w:t xml:space="preserve"> Соглашения </w:t>
      </w:r>
      <w:r w:rsidRPr="00937104">
        <w:t xml:space="preserve">о намерениях </w:t>
      </w:r>
      <w:r>
        <w:t xml:space="preserve">Министерства жилищно-коммунального хозяйства и связи Иркутской области </w:t>
      </w:r>
      <w:r w:rsidRPr="00937104">
        <w:t>об осуществлении совместных действий по выполнению  мероприятий в рамках реализации долгосрочной целевой программы «Энергосбережение и повышение энергетической эффективности на территории Иркутской области на 2011- 2015 годы и на период</w:t>
      </w:r>
      <w:proofErr w:type="gramEnd"/>
      <w:r w:rsidRPr="00937104">
        <w:t xml:space="preserve"> до 2020 года»</w:t>
      </w:r>
      <w:r>
        <w:t>.</w:t>
      </w:r>
      <w:r w:rsidRPr="00937104">
        <w:t xml:space="preserve">  </w:t>
      </w:r>
    </w:p>
    <w:p w:rsidR="00CE7E9E" w:rsidRDefault="00CE7E9E" w:rsidP="00CE7E9E">
      <w:pPr>
        <w:ind w:firstLine="709"/>
      </w:pPr>
      <w:r>
        <w:t>Выполнение мероприятий всех остальных программ находится на контроле и до конца финансового года планируется их исполнение.</w:t>
      </w:r>
    </w:p>
    <w:p w:rsidR="00CE7E9E" w:rsidRDefault="00CE7E9E" w:rsidP="00CE7E9E">
      <w:pPr>
        <w:ind w:firstLine="709"/>
      </w:pPr>
    </w:p>
    <w:p w:rsidR="00CE7E9E" w:rsidRDefault="00CE7E9E" w:rsidP="00CE7E9E">
      <w:pPr>
        <w:ind w:firstLine="709"/>
      </w:pPr>
    </w:p>
    <w:p w:rsidR="00CE7E9E" w:rsidRDefault="00CE7E9E" w:rsidP="00CE7E9E">
      <w:pPr>
        <w:ind w:firstLine="709"/>
      </w:pPr>
    </w:p>
    <w:p w:rsidR="00CE7E9E" w:rsidRDefault="00CE7E9E" w:rsidP="00CE7E9E">
      <w:pPr>
        <w:ind w:firstLine="709"/>
      </w:pPr>
    </w:p>
    <w:p w:rsidR="00CE7E9E" w:rsidRDefault="00CE7E9E" w:rsidP="00CE7E9E">
      <w:r>
        <w:t>Подготовил:</w:t>
      </w:r>
    </w:p>
    <w:p w:rsidR="00CE7E9E" w:rsidRDefault="00CE7E9E" w:rsidP="00CE7E9E">
      <w:r>
        <w:t>Начальник отдела экономического</w:t>
      </w:r>
    </w:p>
    <w:p w:rsidR="00CE7E9E" w:rsidRDefault="00CE7E9E" w:rsidP="00CE7E9E">
      <w:r>
        <w:t xml:space="preserve">анализа и прогнозирования </w:t>
      </w:r>
    </w:p>
    <w:p w:rsidR="00CE7E9E" w:rsidRDefault="00CE7E9E" w:rsidP="00CE7E9E">
      <w:r>
        <w:t xml:space="preserve">администрации г. Бодайбо и района </w:t>
      </w:r>
    </w:p>
    <w:p w:rsidR="00CE7E9E" w:rsidRDefault="00CE7E9E" w:rsidP="00CE7E9E">
      <w:r>
        <w:t>О.А. Соколова</w:t>
      </w:r>
    </w:p>
    <w:bookmarkEnd w:id="2"/>
    <w:p w:rsidR="00CE7E9E" w:rsidRDefault="00CE7E9E" w:rsidP="00CE7E9E">
      <w:pPr>
        <w:ind w:firstLine="709"/>
      </w:pPr>
    </w:p>
    <w:p w:rsidR="00C67784" w:rsidRDefault="00C67784" w:rsidP="00C67784">
      <w:pPr>
        <w:tabs>
          <w:tab w:val="right" w:pos="0"/>
        </w:tabs>
        <w:ind w:firstLine="709"/>
        <w:rPr>
          <w:b/>
          <w:bCs/>
        </w:rPr>
      </w:pPr>
    </w:p>
    <w:p w:rsidR="00C67784" w:rsidRDefault="00C67784" w:rsidP="00C67784">
      <w:pPr>
        <w:tabs>
          <w:tab w:val="right" w:pos="0"/>
        </w:tabs>
        <w:ind w:firstLine="709"/>
      </w:pPr>
    </w:p>
    <w:bookmarkEnd w:id="0"/>
    <w:p w:rsidR="00C67784" w:rsidRDefault="00C67784" w:rsidP="00C67784">
      <w:pPr>
        <w:tabs>
          <w:tab w:val="right" w:pos="0"/>
        </w:tabs>
        <w:ind w:firstLine="709"/>
      </w:pPr>
    </w:p>
    <w:sectPr w:rsidR="00C67784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84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34849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A64E2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1525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67784"/>
    <w:rsid w:val="00C753CC"/>
    <w:rsid w:val="00C862F6"/>
    <w:rsid w:val="00CB01CA"/>
    <w:rsid w:val="00CB3186"/>
    <w:rsid w:val="00CD08E3"/>
    <w:rsid w:val="00CE1556"/>
    <w:rsid w:val="00CE7E9E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33E4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373AA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E9E"/>
    <w:pPr>
      <w:ind w:firstLine="567"/>
      <w:jc w:val="both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E7E9E"/>
    <w:pPr>
      <w:snapToGrid w:val="0"/>
      <w:ind w:firstLine="567"/>
      <w:jc w:val="center"/>
    </w:pPr>
    <w:rPr>
      <w:rFonts w:eastAsia="MS Mincho" w:cs="Courier New"/>
      <w:b/>
      <w:bCs/>
      <w:color w:val="000000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CE7E9E"/>
    <w:rPr>
      <w:rFonts w:ascii="Times New Roman" w:eastAsia="MS Mincho" w:hAnsi="Times New Roman" w:cs="Courier New"/>
      <w:b/>
      <w:bCs/>
      <w:color w:val="000000"/>
      <w:sz w:val="28"/>
      <w:szCs w:val="20"/>
      <w:lang w:eastAsia="ja-JP"/>
    </w:rPr>
  </w:style>
  <w:style w:type="paragraph" w:styleId="a6">
    <w:name w:val="Body Text"/>
    <w:basedOn w:val="a"/>
    <w:link w:val="a7"/>
    <w:unhideWhenUsed/>
    <w:rsid w:val="00CE7E9E"/>
    <w:pPr>
      <w:snapToGrid w:val="0"/>
      <w:ind w:firstLine="567"/>
      <w:jc w:val="both"/>
    </w:pPr>
    <w:rPr>
      <w:rFonts w:eastAsia="MS Mincho"/>
      <w:color w:val="000000"/>
      <w:sz w:val="28"/>
      <w:szCs w:val="20"/>
      <w:lang w:eastAsia="ja-JP"/>
    </w:rPr>
  </w:style>
  <w:style w:type="character" w:customStyle="1" w:styleId="a7">
    <w:name w:val="Основной текст Знак"/>
    <w:basedOn w:val="a0"/>
    <w:link w:val="a6"/>
    <w:rsid w:val="00CE7E9E"/>
    <w:rPr>
      <w:rFonts w:ascii="Times New Roman" w:eastAsia="MS Mincho" w:hAnsi="Times New Roman" w:cs="Times New Roman"/>
      <w:color w:val="000000"/>
      <w:sz w:val="28"/>
      <w:szCs w:val="20"/>
      <w:lang w:eastAsia="ja-JP"/>
    </w:rPr>
  </w:style>
  <w:style w:type="paragraph" w:styleId="a8">
    <w:name w:val="Body Text Indent"/>
    <w:basedOn w:val="a"/>
    <w:link w:val="a9"/>
    <w:semiHidden/>
    <w:unhideWhenUsed/>
    <w:rsid w:val="00CE7E9E"/>
    <w:pPr>
      <w:snapToGrid w:val="0"/>
      <w:ind w:firstLine="709"/>
      <w:jc w:val="both"/>
    </w:pPr>
    <w:rPr>
      <w:rFonts w:eastAsia="MS Mincho"/>
      <w:color w:val="000000"/>
      <w:sz w:val="28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semiHidden/>
    <w:rsid w:val="00CE7E9E"/>
    <w:rPr>
      <w:rFonts w:ascii="Times New Roman" w:eastAsia="MS Mincho" w:hAnsi="Times New Roman" w:cs="Times New Roman"/>
      <w:color w:val="000000"/>
      <w:sz w:val="28"/>
      <w:szCs w:val="20"/>
      <w:lang w:eastAsia="ja-JP"/>
    </w:rPr>
  </w:style>
  <w:style w:type="paragraph" w:customStyle="1" w:styleId="Style1">
    <w:name w:val="Style1"/>
    <w:basedOn w:val="a"/>
    <w:rsid w:val="00CE7E9E"/>
    <w:pPr>
      <w:widowControl w:val="0"/>
      <w:autoSpaceDE w:val="0"/>
      <w:autoSpaceDN w:val="0"/>
      <w:adjustRightInd w:val="0"/>
      <w:spacing w:line="276" w:lineRule="exact"/>
      <w:ind w:firstLine="3394"/>
    </w:pPr>
  </w:style>
  <w:style w:type="character" w:customStyle="1" w:styleId="FontStyle11">
    <w:name w:val="Font Style11"/>
    <w:basedOn w:val="a0"/>
    <w:rsid w:val="00CE7E9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E9E"/>
    <w:pPr>
      <w:ind w:firstLine="567"/>
      <w:jc w:val="both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E7E9E"/>
    <w:pPr>
      <w:snapToGrid w:val="0"/>
      <w:ind w:firstLine="567"/>
      <w:jc w:val="center"/>
    </w:pPr>
    <w:rPr>
      <w:rFonts w:eastAsia="MS Mincho" w:cs="Courier New"/>
      <w:b/>
      <w:bCs/>
      <w:color w:val="000000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CE7E9E"/>
    <w:rPr>
      <w:rFonts w:ascii="Times New Roman" w:eastAsia="MS Mincho" w:hAnsi="Times New Roman" w:cs="Courier New"/>
      <w:b/>
      <w:bCs/>
      <w:color w:val="000000"/>
      <w:sz w:val="28"/>
      <w:szCs w:val="20"/>
      <w:lang w:eastAsia="ja-JP"/>
    </w:rPr>
  </w:style>
  <w:style w:type="paragraph" w:styleId="a6">
    <w:name w:val="Body Text"/>
    <w:basedOn w:val="a"/>
    <w:link w:val="a7"/>
    <w:unhideWhenUsed/>
    <w:rsid w:val="00CE7E9E"/>
    <w:pPr>
      <w:snapToGrid w:val="0"/>
      <w:ind w:firstLine="567"/>
      <w:jc w:val="both"/>
    </w:pPr>
    <w:rPr>
      <w:rFonts w:eastAsia="MS Mincho"/>
      <w:color w:val="000000"/>
      <w:sz w:val="28"/>
      <w:szCs w:val="20"/>
      <w:lang w:eastAsia="ja-JP"/>
    </w:rPr>
  </w:style>
  <w:style w:type="character" w:customStyle="1" w:styleId="a7">
    <w:name w:val="Основной текст Знак"/>
    <w:basedOn w:val="a0"/>
    <w:link w:val="a6"/>
    <w:rsid w:val="00CE7E9E"/>
    <w:rPr>
      <w:rFonts w:ascii="Times New Roman" w:eastAsia="MS Mincho" w:hAnsi="Times New Roman" w:cs="Times New Roman"/>
      <w:color w:val="000000"/>
      <w:sz w:val="28"/>
      <w:szCs w:val="20"/>
      <w:lang w:eastAsia="ja-JP"/>
    </w:rPr>
  </w:style>
  <w:style w:type="paragraph" w:styleId="a8">
    <w:name w:val="Body Text Indent"/>
    <w:basedOn w:val="a"/>
    <w:link w:val="a9"/>
    <w:semiHidden/>
    <w:unhideWhenUsed/>
    <w:rsid w:val="00CE7E9E"/>
    <w:pPr>
      <w:snapToGrid w:val="0"/>
      <w:ind w:firstLine="709"/>
      <w:jc w:val="both"/>
    </w:pPr>
    <w:rPr>
      <w:rFonts w:eastAsia="MS Mincho"/>
      <w:color w:val="000000"/>
      <w:sz w:val="28"/>
      <w:szCs w:val="20"/>
      <w:lang w:eastAsia="ja-JP"/>
    </w:rPr>
  </w:style>
  <w:style w:type="character" w:customStyle="1" w:styleId="a9">
    <w:name w:val="Основной текст с отступом Знак"/>
    <w:basedOn w:val="a0"/>
    <w:link w:val="a8"/>
    <w:semiHidden/>
    <w:rsid w:val="00CE7E9E"/>
    <w:rPr>
      <w:rFonts w:ascii="Times New Roman" w:eastAsia="MS Mincho" w:hAnsi="Times New Roman" w:cs="Times New Roman"/>
      <w:color w:val="000000"/>
      <w:sz w:val="28"/>
      <w:szCs w:val="20"/>
      <w:lang w:eastAsia="ja-JP"/>
    </w:rPr>
  </w:style>
  <w:style w:type="paragraph" w:customStyle="1" w:styleId="Style1">
    <w:name w:val="Style1"/>
    <w:basedOn w:val="a"/>
    <w:rsid w:val="00CE7E9E"/>
    <w:pPr>
      <w:widowControl w:val="0"/>
      <w:autoSpaceDE w:val="0"/>
      <w:autoSpaceDN w:val="0"/>
      <w:adjustRightInd w:val="0"/>
      <w:spacing w:line="276" w:lineRule="exact"/>
      <w:ind w:firstLine="3394"/>
    </w:pPr>
  </w:style>
  <w:style w:type="character" w:customStyle="1" w:styleId="FontStyle11">
    <w:name w:val="Font Style11"/>
    <w:basedOn w:val="a0"/>
    <w:rsid w:val="00CE7E9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Бодяло ЕН</cp:lastModifiedBy>
  <cp:revision>2</cp:revision>
  <cp:lastPrinted>2013-08-26T07:56:00Z</cp:lastPrinted>
  <dcterms:created xsi:type="dcterms:W3CDTF">2013-09-17T02:01:00Z</dcterms:created>
  <dcterms:modified xsi:type="dcterms:W3CDTF">2013-09-17T02:01:00Z</dcterms:modified>
</cp:coreProperties>
</file>