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0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518C8" w:rsidRPr="00A0275D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5D">
        <w:rPr>
          <w:rFonts w:ascii="Times New Roman" w:hAnsi="Times New Roman" w:cs="Times New Roman"/>
          <w:b/>
          <w:sz w:val="24"/>
          <w:szCs w:val="24"/>
        </w:rPr>
        <w:t>о реализации мероприятий проекта народных инициатив в 201</w:t>
      </w:r>
      <w:r w:rsidR="00D51B35" w:rsidRPr="00A0275D">
        <w:rPr>
          <w:rFonts w:ascii="Times New Roman" w:hAnsi="Times New Roman" w:cs="Times New Roman"/>
          <w:b/>
          <w:sz w:val="24"/>
          <w:szCs w:val="24"/>
        </w:rPr>
        <w:t>7</w:t>
      </w:r>
      <w:r w:rsidRPr="00A0275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7518C8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5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A0275D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A0275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0275D" w:rsidRDefault="00A0275D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(сводная информация)</w:t>
      </w:r>
    </w:p>
    <w:p w:rsidR="00A0275D" w:rsidRPr="00A0275D" w:rsidRDefault="00A0275D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C8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941" w:rsidRDefault="00472B0E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проводится политика по вовлечению граждан в определение приоритетных направлений расходования бюджетных средств через формирования прозрачного и понятного для граждан бюджета – это проект поддержки местных инициатив, которые выдвигают граждане</w:t>
      </w:r>
      <w:r w:rsidR="00F43941">
        <w:rPr>
          <w:rFonts w:ascii="Times New Roman" w:hAnsi="Times New Roman" w:cs="Times New Roman"/>
          <w:sz w:val="24"/>
          <w:szCs w:val="24"/>
        </w:rPr>
        <w:t>.</w:t>
      </w:r>
    </w:p>
    <w:p w:rsidR="00472B0E" w:rsidRDefault="00F43941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</w:t>
      </w:r>
      <w:r w:rsidR="00C04624">
        <w:rPr>
          <w:rFonts w:ascii="Times New Roman" w:hAnsi="Times New Roman" w:cs="Times New Roman"/>
          <w:sz w:val="24"/>
          <w:szCs w:val="24"/>
        </w:rPr>
        <w:t xml:space="preserve"> 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начат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получивш</w:t>
      </w:r>
      <w:r w:rsidR="00A0275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A027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«Народный бюджет».</w:t>
      </w:r>
      <w:r w:rsidR="00472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возникл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развивал</w:t>
      </w:r>
      <w:r w:rsidR="00A027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 как результат инициатив Всероссийск</w:t>
      </w:r>
      <w:r w:rsidR="0041626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Политическо</w:t>
      </w:r>
      <w:r w:rsidR="00416263">
        <w:rPr>
          <w:rFonts w:ascii="Times New Roman" w:hAnsi="Times New Roman" w:cs="Times New Roman"/>
          <w:sz w:val="24"/>
          <w:szCs w:val="24"/>
        </w:rPr>
        <w:t>й Партии «Единая Россия» и Общероссийского народного фронта (ОНФ).</w:t>
      </w:r>
      <w:r w:rsidR="00D70311">
        <w:rPr>
          <w:rFonts w:ascii="Times New Roman" w:hAnsi="Times New Roman" w:cs="Times New Roman"/>
          <w:sz w:val="24"/>
          <w:szCs w:val="24"/>
        </w:rPr>
        <w:t xml:space="preserve"> За минувшие годы были воплощены в жизнь более 11 тыс. пожеланий граждан на общую сумму 3,3 млрд. руб. П</w:t>
      </w:r>
      <w:r w:rsidR="003F638B">
        <w:rPr>
          <w:rFonts w:ascii="Times New Roman" w:hAnsi="Times New Roman" w:cs="Times New Roman"/>
          <w:sz w:val="24"/>
          <w:szCs w:val="24"/>
        </w:rPr>
        <w:t>о</w:t>
      </w:r>
      <w:r w:rsidR="00D70311">
        <w:rPr>
          <w:rFonts w:ascii="Times New Roman" w:hAnsi="Times New Roman" w:cs="Times New Roman"/>
          <w:sz w:val="24"/>
          <w:szCs w:val="24"/>
        </w:rPr>
        <w:t xml:space="preserve">желания </w:t>
      </w:r>
      <w:r w:rsidR="003F638B">
        <w:rPr>
          <w:rFonts w:ascii="Times New Roman" w:hAnsi="Times New Roman" w:cs="Times New Roman"/>
          <w:sz w:val="24"/>
          <w:szCs w:val="24"/>
        </w:rPr>
        <w:t>представляются</w:t>
      </w:r>
      <w:r w:rsidR="00D70311">
        <w:rPr>
          <w:rFonts w:ascii="Times New Roman" w:hAnsi="Times New Roman" w:cs="Times New Roman"/>
          <w:sz w:val="24"/>
          <w:szCs w:val="24"/>
        </w:rPr>
        <w:t xml:space="preserve"> самые разнообразные, касающиеся всех ст</w:t>
      </w:r>
      <w:r w:rsidR="003F638B">
        <w:rPr>
          <w:rFonts w:ascii="Times New Roman" w:hAnsi="Times New Roman" w:cs="Times New Roman"/>
          <w:sz w:val="24"/>
          <w:szCs w:val="24"/>
        </w:rPr>
        <w:t>о</w:t>
      </w:r>
      <w:r w:rsidR="00D70311">
        <w:rPr>
          <w:rFonts w:ascii="Times New Roman" w:hAnsi="Times New Roman" w:cs="Times New Roman"/>
          <w:sz w:val="24"/>
          <w:szCs w:val="24"/>
        </w:rPr>
        <w:t>рон жизни</w:t>
      </w:r>
      <w:r w:rsidR="003F638B">
        <w:rPr>
          <w:rFonts w:ascii="Times New Roman" w:hAnsi="Times New Roman" w:cs="Times New Roman"/>
          <w:sz w:val="24"/>
          <w:szCs w:val="24"/>
        </w:rPr>
        <w:t>: благоустройство, развитие ко</w:t>
      </w:r>
      <w:r w:rsidR="00263849">
        <w:rPr>
          <w:rFonts w:ascii="Times New Roman" w:hAnsi="Times New Roman" w:cs="Times New Roman"/>
          <w:sz w:val="24"/>
          <w:szCs w:val="24"/>
        </w:rPr>
        <w:t>ммунального хозяйства, поддержка</w:t>
      </w:r>
      <w:r w:rsidR="003F638B">
        <w:rPr>
          <w:rFonts w:ascii="Times New Roman" w:hAnsi="Times New Roman" w:cs="Times New Roman"/>
          <w:sz w:val="24"/>
          <w:szCs w:val="24"/>
        </w:rPr>
        <w:t xml:space="preserve"> культуры, ремонт и содержание дорог, на развитие образования</w:t>
      </w:r>
      <w:proofErr w:type="gramStart"/>
      <w:r w:rsidR="003F638B">
        <w:rPr>
          <w:rFonts w:ascii="Times New Roman" w:hAnsi="Times New Roman" w:cs="Times New Roman"/>
          <w:sz w:val="24"/>
          <w:szCs w:val="24"/>
        </w:rPr>
        <w:t xml:space="preserve"> </w:t>
      </w:r>
      <w:r w:rsidR="00D703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B01" w:rsidRDefault="003F638B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04624">
        <w:rPr>
          <w:rFonts w:ascii="Times New Roman" w:hAnsi="Times New Roman" w:cs="Times New Roman"/>
          <w:sz w:val="24"/>
          <w:szCs w:val="24"/>
        </w:rPr>
        <w:t xml:space="preserve">униципальные образования </w:t>
      </w:r>
      <w:proofErr w:type="spellStart"/>
      <w:r w:rsidR="00C0462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046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63849">
        <w:rPr>
          <w:rFonts w:ascii="Times New Roman" w:hAnsi="Times New Roman" w:cs="Times New Roman"/>
          <w:sz w:val="24"/>
          <w:szCs w:val="24"/>
        </w:rPr>
        <w:t>принимают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04624">
        <w:rPr>
          <w:rFonts w:ascii="Times New Roman" w:hAnsi="Times New Roman" w:cs="Times New Roman"/>
          <w:sz w:val="24"/>
          <w:szCs w:val="24"/>
        </w:rPr>
        <w:t>в проекте</w:t>
      </w:r>
      <w:r w:rsidR="00D51B35">
        <w:rPr>
          <w:rFonts w:ascii="Times New Roman" w:hAnsi="Times New Roman" w:cs="Times New Roman"/>
          <w:sz w:val="24"/>
          <w:szCs w:val="24"/>
        </w:rPr>
        <w:t xml:space="preserve"> «Народные инициативы»</w:t>
      </w:r>
      <w:r w:rsidR="002638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263849">
        <w:rPr>
          <w:rFonts w:ascii="Times New Roman" w:hAnsi="Times New Roman" w:cs="Times New Roman"/>
          <w:sz w:val="24"/>
          <w:szCs w:val="24"/>
        </w:rPr>
        <w:t>а</w:t>
      </w:r>
      <w:r w:rsidR="00D51B35">
        <w:rPr>
          <w:rFonts w:ascii="Times New Roman" w:hAnsi="Times New Roman" w:cs="Times New Roman"/>
          <w:sz w:val="24"/>
          <w:szCs w:val="24"/>
        </w:rPr>
        <w:t xml:space="preserve">. </w:t>
      </w:r>
      <w:r w:rsidR="00A0275D">
        <w:rPr>
          <w:rFonts w:ascii="Times New Roman" w:hAnsi="Times New Roman" w:cs="Times New Roman"/>
          <w:sz w:val="24"/>
          <w:szCs w:val="24"/>
        </w:rPr>
        <w:t>С тех пор р</w:t>
      </w:r>
      <w:r w:rsidR="00A92D69">
        <w:rPr>
          <w:rFonts w:ascii="Times New Roman" w:hAnsi="Times New Roman" w:cs="Times New Roman"/>
          <w:sz w:val="24"/>
          <w:szCs w:val="24"/>
        </w:rPr>
        <w:t>е</w:t>
      </w:r>
      <w:r w:rsidR="00C04624">
        <w:rPr>
          <w:rFonts w:ascii="Times New Roman" w:hAnsi="Times New Roman" w:cs="Times New Roman"/>
          <w:sz w:val="24"/>
          <w:szCs w:val="24"/>
        </w:rPr>
        <w:t>ализация мероприятий осуществляется путем выдвижения и обсуждения с</w:t>
      </w:r>
      <w:r w:rsidR="007926D0">
        <w:rPr>
          <w:rFonts w:ascii="Times New Roman" w:hAnsi="Times New Roman" w:cs="Times New Roman"/>
          <w:sz w:val="24"/>
          <w:szCs w:val="24"/>
        </w:rPr>
        <w:t>оциальны</w:t>
      </w:r>
      <w:r w:rsidR="00C04624">
        <w:rPr>
          <w:rFonts w:ascii="Times New Roman" w:hAnsi="Times New Roman" w:cs="Times New Roman"/>
          <w:sz w:val="24"/>
          <w:szCs w:val="24"/>
        </w:rPr>
        <w:t>х</w:t>
      </w:r>
      <w:r w:rsidR="007926D0">
        <w:rPr>
          <w:rFonts w:ascii="Times New Roman" w:hAnsi="Times New Roman" w:cs="Times New Roman"/>
          <w:sz w:val="24"/>
          <w:szCs w:val="24"/>
        </w:rPr>
        <w:t xml:space="preserve"> проек</w:t>
      </w:r>
      <w:r w:rsidR="00C04624">
        <w:rPr>
          <w:rFonts w:ascii="Times New Roman" w:hAnsi="Times New Roman" w:cs="Times New Roman"/>
          <w:sz w:val="24"/>
          <w:szCs w:val="24"/>
        </w:rPr>
        <w:t>тов</w:t>
      </w:r>
      <w:r w:rsidR="007926D0">
        <w:rPr>
          <w:rFonts w:ascii="Times New Roman" w:hAnsi="Times New Roman" w:cs="Times New Roman"/>
          <w:sz w:val="24"/>
          <w:szCs w:val="24"/>
        </w:rPr>
        <w:t xml:space="preserve">, </w:t>
      </w:r>
      <w:r w:rsidR="00C04624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="007926D0">
        <w:rPr>
          <w:rFonts w:ascii="Times New Roman" w:hAnsi="Times New Roman" w:cs="Times New Roman"/>
          <w:sz w:val="24"/>
          <w:szCs w:val="24"/>
        </w:rPr>
        <w:t xml:space="preserve"> на сходах и общих собраниях </w:t>
      </w:r>
      <w:r w:rsidR="00A0275D">
        <w:rPr>
          <w:rFonts w:ascii="Times New Roman" w:hAnsi="Times New Roman" w:cs="Times New Roman"/>
          <w:sz w:val="24"/>
          <w:szCs w:val="24"/>
        </w:rPr>
        <w:t>граждан</w:t>
      </w:r>
      <w:r w:rsidR="00263849">
        <w:rPr>
          <w:rFonts w:ascii="Times New Roman" w:hAnsi="Times New Roman" w:cs="Times New Roman"/>
          <w:sz w:val="24"/>
          <w:szCs w:val="24"/>
        </w:rPr>
        <w:t>.</w:t>
      </w:r>
      <w:r w:rsidR="00A92D69">
        <w:rPr>
          <w:rFonts w:ascii="Times New Roman" w:hAnsi="Times New Roman" w:cs="Times New Roman"/>
          <w:sz w:val="24"/>
          <w:szCs w:val="24"/>
        </w:rPr>
        <w:t xml:space="preserve"> </w:t>
      </w:r>
      <w:r w:rsidR="006B7B01">
        <w:rPr>
          <w:rFonts w:ascii="Times New Roman" w:hAnsi="Times New Roman" w:cs="Times New Roman"/>
          <w:sz w:val="24"/>
          <w:szCs w:val="24"/>
        </w:rPr>
        <w:t>К окончательному выбору мероприятий в конце обсуждений подключа</w:t>
      </w:r>
      <w:r w:rsidR="00263849">
        <w:rPr>
          <w:rFonts w:ascii="Times New Roman" w:hAnsi="Times New Roman" w:cs="Times New Roman"/>
          <w:sz w:val="24"/>
          <w:szCs w:val="24"/>
        </w:rPr>
        <w:t>ю</w:t>
      </w:r>
      <w:r w:rsidR="006B7B01">
        <w:rPr>
          <w:rFonts w:ascii="Times New Roman" w:hAnsi="Times New Roman" w:cs="Times New Roman"/>
          <w:sz w:val="24"/>
          <w:szCs w:val="24"/>
        </w:rPr>
        <w:t>тся а</w:t>
      </w:r>
      <w:r w:rsidR="007926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B7B01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C12B6F" w:rsidRDefault="00D51B35" w:rsidP="00C1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F121AC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0D5E59">
        <w:rPr>
          <w:rFonts w:ascii="Times New Roman" w:hAnsi="Times New Roman" w:cs="Times New Roman"/>
          <w:sz w:val="24"/>
          <w:szCs w:val="24"/>
        </w:rPr>
        <w:t>проекта</w:t>
      </w:r>
      <w:r w:rsidR="00F121AC">
        <w:rPr>
          <w:rFonts w:ascii="Times New Roman" w:hAnsi="Times New Roman" w:cs="Times New Roman"/>
          <w:sz w:val="24"/>
          <w:szCs w:val="24"/>
        </w:rPr>
        <w:t xml:space="preserve"> </w:t>
      </w:r>
      <w:r w:rsidR="0084679A">
        <w:rPr>
          <w:rFonts w:ascii="Times New Roman" w:hAnsi="Times New Roman" w:cs="Times New Roman"/>
          <w:sz w:val="24"/>
          <w:szCs w:val="24"/>
        </w:rPr>
        <w:t xml:space="preserve">«Народные инициативы» </w:t>
      </w:r>
      <w:r w:rsidR="000D5E59">
        <w:rPr>
          <w:rFonts w:ascii="Times New Roman" w:hAnsi="Times New Roman" w:cs="Times New Roman"/>
          <w:sz w:val="24"/>
          <w:szCs w:val="24"/>
        </w:rPr>
        <w:t xml:space="preserve">с 2011 по 2017 годы </w:t>
      </w:r>
      <w:r w:rsidR="00696E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4679A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84679A">
        <w:rPr>
          <w:rFonts w:ascii="Times New Roman" w:hAnsi="Times New Roman" w:cs="Times New Roman"/>
          <w:sz w:val="24"/>
          <w:szCs w:val="24"/>
        </w:rPr>
        <w:t xml:space="preserve"> </w:t>
      </w:r>
      <w:r w:rsidR="00696E39">
        <w:rPr>
          <w:rFonts w:ascii="Times New Roman" w:hAnsi="Times New Roman" w:cs="Times New Roman"/>
          <w:sz w:val="24"/>
          <w:szCs w:val="24"/>
        </w:rPr>
        <w:t xml:space="preserve">районе </w:t>
      </w:r>
      <w:r>
        <w:rPr>
          <w:rFonts w:ascii="Times New Roman" w:hAnsi="Times New Roman" w:cs="Times New Roman"/>
          <w:sz w:val="24"/>
          <w:szCs w:val="24"/>
        </w:rPr>
        <w:t xml:space="preserve">решены многие </w:t>
      </w:r>
      <w:r w:rsidR="00696E39">
        <w:rPr>
          <w:rFonts w:ascii="Times New Roman" w:hAnsi="Times New Roman" w:cs="Times New Roman"/>
          <w:sz w:val="24"/>
          <w:szCs w:val="24"/>
        </w:rPr>
        <w:t xml:space="preserve">первоочередные </w:t>
      </w:r>
      <w:r>
        <w:rPr>
          <w:rFonts w:ascii="Times New Roman" w:hAnsi="Times New Roman" w:cs="Times New Roman"/>
          <w:sz w:val="24"/>
          <w:szCs w:val="24"/>
        </w:rPr>
        <w:t>проблемы</w:t>
      </w:r>
      <w:r w:rsidR="006F6A3F">
        <w:rPr>
          <w:rFonts w:ascii="Times New Roman" w:hAnsi="Times New Roman" w:cs="Times New Roman"/>
          <w:sz w:val="24"/>
          <w:szCs w:val="24"/>
        </w:rPr>
        <w:t xml:space="preserve">, на </w:t>
      </w:r>
      <w:r w:rsidR="00BF765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6F6A3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C12B6F">
        <w:rPr>
          <w:rFonts w:ascii="Times New Roman" w:hAnsi="Times New Roman" w:cs="Times New Roman"/>
          <w:sz w:val="24"/>
          <w:szCs w:val="24"/>
        </w:rPr>
        <w:t xml:space="preserve">были привлечены областные средства в объеме </w:t>
      </w:r>
      <w:r w:rsidR="000D5E59">
        <w:rPr>
          <w:rFonts w:ascii="Times New Roman" w:hAnsi="Times New Roman" w:cs="Times New Roman"/>
          <w:sz w:val="24"/>
          <w:szCs w:val="24"/>
        </w:rPr>
        <w:t>58,9</w:t>
      </w:r>
      <w:r w:rsidR="00C12B6F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6F6A3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12B6F">
        <w:rPr>
          <w:rFonts w:ascii="Times New Roman" w:hAnsi="Times New Roman" w:cs="Times New Roman"/>
          <w:sz w:val="24"/>
          <w:szCs w:val="24"/>
        </w:rPr>
        <w:t xml:space="preserve">из местных бюджетов </w:t>
      </w:r>
      <w:r w:rsidR="006F6A3F">
        <w:rPr>
          <w:rFonts w:ascii="Times New Roman" w:hAnsi="Times New Roman" w:cs="Times New Roman"/>
          <w:sz w:val="24"/>
          <w:szCs w:val="24"/>
        </w:rPr>
        <w:t>-</w:t>
      </w:r>
      <w:r w:rsidR="00D46CFD">
        <w:rPr>
          <w:rFonts w:ascii="Times New Roman" w:hAnsi="Times New Roman" w:cs="Times New Roman"/>
          <w:sz w:val="24"/>
          <w:szCs w:val="24"/>
        </w:rPr>
        <w:t xml:space="preserve"> 11,6</w:t>
      </w:r>
      <w:r w:rsidR="00C12B6F">
        <w:rPr>
          <w:rFonts w:ascii="Times New Roman" w:hAnsi="Times New Roman" w:cs="Times New Roman"/>
          <w:sz w:val="24"/>
          <w:szCs w:val="24"/>
        </w:rPr>
        <w:t xml:space="preserve"> млн. руб., в том числе</w:t>
      </w:r>
      <w:r w:rsidR="006F6A3F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0D5E59">
        <w:rPr>
          <w:rFonts w:ascii="Times New Roman" w:hAnsi="Times New Roman" w:cs="Times New Roman"/>
          <w:sz w:val="24"/>
          <w:szCs w:val="24"/>
        </w:rPr>
        <w:t>:</w:t>
      </w:r>
    </w:p>
    <w:p w:rsidR="00C12B6F" w:rsidRDefault="00C12B6F" w:rsidP="00C1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2B6F" w:rsidTr="00220709">
        <w:tc>
          <w:tcPr>
            <w:tcW w:w="2392" w:type="dxa"/>
            <w:vMerge w:val="restart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93" w:type="dxa"/>
            <w:vMerge w:val="restart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Всего, млн. руб.</w:t>
            </w:r>
          </w:p>
        </w:tc>
        <w:tc>
          <w:tcPr>
            <w:tcW w:w="4786" w:type="dxa"/>
            <w:gridSpan w:val="2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в том числе по источникам финансирования, млн. руб.</w:t>
            </w:r>
          </w:p>
        </w:tc>
      </w:tr>
      <w:tr w:rsidR="00C12B6F" w:rsidTr="00220709">
        <w:tc>
          <w:tcPr>
            <w:tcW w:w="2392" w:type="dxa"/>
            <w:vMerge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-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2,3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1,4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3,2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0,7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1,3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2,7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7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7B"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7B"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7B">
              <w:rPr>
                <w:rFonts w:ascii="Times New Roman" w:hAnsi="Times New Roman" w:cs="Times New Roman"/>
                <w:b/>
              </w:rPr>
              <w:t>11,6</w:t>
            </w:r>
          </w:p>
        </w:tc>
      </w:tr>
    </w:tbl>
    <w:p w:rsidR="00C12B6F" w:rsidRDefault="00C12B6F" w:rsidP="00C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168" w:rsidRDefault="00173168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района участвует в реализации проекта второй раз (в 2013 и 2017 годах). </w:t>
      </w:r>
    </w:p>
    <w:p w:rsidR="00D51B35" w:rsidRDefault="00D46CFD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121AC">
        <w:rPr>
          <w:rFonts w:ascii="Times New Roman" w:hAnsi="Times New Roman" w:cs="Times New Roman"/>
          <w:sz w:val="24"/>
          <w:szCs w:val="24"/>
        </w:rPr>
        <w:t xml:space="preserve"> </w:t>
      </w:r>
      <w:r w:rsidR="00043D23">
        <w:rPr>
          <w:rFonts w:ascii="Times New Roman" w:hAnsi="Times New Roman" w:cs="Times New Roman"/>
          <w:sz w:val="24"/>
          <w:szCs w:val="24"/>
        </w:rPr>
        <w:t>2011-201</w:t>
      </w:r>
      <w:r w:rsidR="00696E39">
        <w:rPr>
          <w:rFonts w:ascii="Times New Roman" w:hAnsi="Times New Roman" w:cs="Times New Roman"/>
          <w:sz w:val="24"/>
          <w:szCs w:val="24"/>
        </w:rPr>
        <w:t>6</w:t>
      </w:r>
      <w:r w:rsidR="00043D23">
        <w:rPr>
          <w:rFonts w:ascii="Times New Roman" w:hAnsi="Times New Roman" w:cs="Times New Roman"/>
          <w:sz w:val="24"/>
          <w:szCs w:val="24"/>
        </w:rPr>
        <w:t xml:space="preserve"> годы</w:t>
      </w:r>
      <w:r w:rsidR="00F121AC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6F6A3F">
        <w:rPr>
          <w:rFonts w:ascii="Times New Roman" w:hAnsi="Times New Roman" w:cs="Times New Roman"/>
          <w:sz w:val="24"/>
          <w:szCs w:val="24"/>
        </w:rPr>
        <w:t>проекта</w:t>
      </w:r>
      <w:r w:rsidR="007926D0">
        <w:rPr>
          <w:rFonts w:ascii="Times New Roman" w:hAnsi="Times New Roman" w:cs="Times New Roman"/>
          <w:sz w:val="24"/>
          <w:szCs w:val="24"/>
        </w:rPr>
        <w:t xml:space="preserve"> </w:t>
      </w:r>
      <w:r w:rsidR="00F121AC">
        <w:rPr>
          <w:rFonts w:ascii="Times New Roman" w:hAnsi="Times New Roman" w:cs="Times New Roman"/>
          <w:sz w:val="24"/>
          <w:szCs w:val="24"/>
        </w:rPr>
        <w:t>муниципалитетами всех уровней</w:t>
      </w:r>
      <w:r w:rsidR="0079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9F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919F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43D23">
        <w:rPr>
          <w:rFonts w:ascii="Times New Roman" w:hAnsi="Times New Roman" w:cs="Times New Roman"/>
          <w:sz w:val="24"/>
          <w:szCs w:val="24"/>
        </w:rPr>
        <w:t xml:space="preserve">осуществлены </w:t>
      </w:r>
      <w:r w:rsidR="006F6A3F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926D0" w:rsidRPr="008D2F64" w:rsidRDefault="007926D0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F6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gramStart"/>
      <w:r w:rsidRPr="008D2F6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D2F64">
        <w:rPr>
          <w:rFonts w:ascii="Times New Roman" w:hAnsi="Times New Roman" w:cs="Times New Roman"/>
          <w:b/>
          <w:sz w:val="24"/>
          <w:szCs w:val="24"/>
        </w:rPr>
        <w:t>. Бодайбо и района: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риобретено и установлено спортивное оборудование для тренажерного зала плавательного бассейна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Бодайбо;</w:t>
      </w:r>
    </w:p>
    <w:p w:rsidR="007926D0" w:rsidRDefault="007926D0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приобретена акустическая система оповещения спортивных объектов детского оздоровительно-образовательного центра (лыжная база, плавательный бассейн, стадион «Труд»;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проведены работы по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лагоустройству городского парка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Бодайбо.</w:t>
      </w:r>
    </w:p>
    <w:p w:rsidR="007926D0" w:rsidRPr="008D2F6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2F64">
        <w:rPr>
          <w:rFonts w:ascii="Times New Roman" w:hAnsi="Times New Roman" w:cs="Times New Roman"/>
          <w:b/>
          <w:color w:val="000000"/>
          <w:sz w:val="24"/>
          <w:szCs w:val="24"/>
        </w:rPr>
        <w:t>Бодайбинское</w:t>
      </w:r>
      <w:proofErr w:type="spellEnd"/>
      <w:r w:rsidRPr="008D2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приобретены автобусы ПАЗ-4234 (3 ед.);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>риобретено оборудование для детских игровых площадок;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проведено  благоустройство  лестничного комплекса по ул. Урицкого «Овраг»);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приобретена новая специализированная техника (бульдозер)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Бодайбо;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проведены работы по устройству типовых пешеходных переходов по ул. Урицкого, ремонт тротуаров по ул. 30 лет Победы, пер.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Витимскому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по ул. Урицкого, установлены искусственные неровности (лежачие полицейские), приобретены и установлены дорожные знаки;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установлено ограждение дорожного полотна по ул. Урицкого;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отремонтирована дорога общего пользования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Ремесленной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(протяженность 150 п.м.).</w:t>
      </w:r>
    </w:p>
    <w:p w:rsidR="007926D0" w:rsidRPr="00083BEE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Мамаканское</w:t>
      </w:r>
      <w:proofErr w:type="spellEnd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 самосвал ГАЗ-САЗ-35071 для сбора и вывоза ТБО для ЖКХ;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</w:t>
      </w:r>
      <w:r>
        <w:rPr>
          <w:rFonts w:ascii="Times New Roman" w:hAnsi="Times New Roman" w:cs="Times New Roman"/>
          <w:sz w:val="24"/>
          <w:szCs w:val="24"/>
        </w:rPr>
        <w:t>риобретено спортивное оборудование и инвентарь для открытых спортивных площадок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волейбольно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баскетбольная, футбольная площадка, хоккейный корт).</w:t>
      </w:r>
    </w:p>
    <w:p w:rsidR="007926D0" w:rsidRDefault="007926D0" w:rsidP="007926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приобретено универсальное уличное покрытие для спортивной площадки.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приобретен игровой детский комплекс для установки в сквере по ул. Мира.</w:t>
      </w:r>
    </w:p>
    <w:p w:rsidR="007926D0" w:rsidRPr="00083BEE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EE">
        <w:rPr>
          <w:rFonts w:ascii="Times New Roman" w:hAnsi="Times New Roman" w:cs="Times New Roman"/>
          <w:b/>
          <w:sz w:val="24"/>
          <w:szCs w:val="24"/>
        </w:rPr>
        <w:t>Балахнинское</w:t>
      </w:r>
      <w:proofErr w:type="spellEnd"/>
      <w:r w:rsidRPr="00083BEE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>
        <w:rPr>
          <w:rFonts w:ascii="Times New Roman" w:hAnsi="Times New Roman" w:cs="Times New Roman"/>
          <w:color w:val="000000"/>
          <w:sz w:val="24"/>
          <w:szCs w:val="24"/>
        </w:rPr>
        <w:t>риобретен и установлен детский игровой спортивный комплекс;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 новый автомобиль для организации ритуальных услуг УАЗ-390945 для МУП «ТВС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отремонтировано дорожное полотно по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Дорожная</w:t>
      </w:r>
      <w:proofErr w:type="gramEnd"/>
      <w:r w:rsidR="00716567">
        <w:rPr>
          <w:rFonts w:ascii="Times New Roman" w:hAnsi="Times New Roman" w:cs="Times New Roman"/>
          <w:color w:val="000000"/>
          <w:sz w:val="24"/>
          <w:szCs w:val="24"/>
        </w:rPr>
        <w:t xml:space="preserve"> в п. </w:t>
      </w:r>
      <w:proofErr w:type="spellStart"/>
      <w:r w:rsidR="00716567">
        <w:rPr>
          <w:rFonts w:ascii="Times New Roman" w:hAnsi="Times New Roman" w:cs="Times New Roman"/>
          <w:color w:val="000000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26D0" w:rsidRPr="00083BEE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Артемовское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произведен ремонт автомобильных дорог местного значения в п. Артемовский;</w:t>
      </w:r>
    </w:p>
    <w:p w:rsidR="007926D0" w:rsidRDefault="007926D0" w:rsidP="007926D0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приобретен трактор для очистки улиц от снега для МУП «Жилфонд».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отремонтированы канализационные колодцы;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 ремонт памятника погибшим воинам в Великой Отечественной войне;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приобретено и установлено оборудование для детских игровых площадок (уличные тренажеры, горки, карусель, качели).</w:t>
      </w:r>
    </w:p>
    <w:p w:rsidR="007926D0" w:rsidRPr="00083BEE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>Кропоткинское</w:t>
      </w:r>
      <w:proofErr w:type="spellEnd"/>
      <w:r w:rsidRPr="00083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приобретен пассажирский автобус марки ПАЗ 3206 для МУП «ТВСК п.</w:t>
      </w:r>
      <w:r w:rsidR="00716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Кропоткин».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изготовлены и установлены контейнеры для ТБО на автомобиль ГАЗ 3309 (муниципальная собственность.</w:t>
      </w:r>
      <w:proofErr w:type="gramEnd"/>
    </w:p>
    <w:p w:rsidR="007926D0" w:rsidRPr="00E61441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61441">
        <w:rPr>
          <w:rFonts w:ascii="Times New Roman" w:hAnsi="Times New Roman" w:cs="Times New Roman"/>
          <w:b/>
          <w:color w:val="000000"/>
          <w:sz w:val="24"/>
          <w:szCs w:val="24"/>
        </w:rPr>
        <w:t>Жуинское</w:t>
      </w:r>
      <w:proofErr w:type="spellEnd"/>
      <w:r w:rsidRPr="00E6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произведен ремонт памятника воинам - участникам Великой Отечественной войны, обустроена территория площади, прилегающей к памятнику;</w:t>
      </w:r>
    </w:p>
    <w:p w:rsidR="007926D0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 проведено обустройство хоккейного корта;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проведены работы по ремонту здания водозабора в п. Перевоз;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обустроены места сбора мусора;</w:t>
      </w:r>
    </w:p>
    <w:p w:rsidR="007926D0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заменены деревянные окна на пластиковые, установлены двери в здании администрации.</w:t>
      </w:r>
    </w:p>
    <w:p w:rsidR="006B7B01" w:rsidRDefault="006B7B01" w:rsidP="006B7B0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458 муниципальных образований Иркутской области участвовали в осуществлении проекта «Народные инициативы». Общая сумма финансирования из областного бюджета составила 500 млн. руб. Распределение субсидий между муниципалитетами осуществлялась пропорционально численности населения.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было выделено из областного бюджета 9,4 млн. руб. или 1,9% от общей суммы,  </w:t>
      </w:r>
      <w:r w:rsidR="00F369C3">
        <w:rPr>
          <w:rFonts w:ascii="Times New Roman" w:hAnsi="Times New Roman" w:cs="Times New Roman"/>
          <w:sz w:val="24"/>
          <w:szCs w:val="24"/>
        </w:rPr>
        <w:t>предусмотренной в региональном бюджете на этот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01" w:rsidRDefault="00F369C3" w:rsidP="006B7B01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6B7B01" w:rsidRPr="00ED2D3F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="006B7B01">
        <w:rPr>
          <w:rFonts w:ascii="Times New Roman" w:hAnsi="Times New Roman" w:cs="Times New Roman"/>
          <w:sz w:val="24"/>
          <w:szCs w:val="24"/>
        </w:rPr>
        <w:t>: численность населения района составляет 0,8% от численности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7B01">
        <w:rPr>
          <w:rFonts w:ascii="Times New Roman" w:hAnsi="Times New Roman" w:cs="Times New Roman"/>
          <w:sz w:val="24"/>
          <w:szCs w:val="24"/>
        </w:rPr>
        <w:t xml:space="preserve">по состоянию на 01.01.2017 года численность </w:t>
      </w:r>
      <w:proofErr w:type="spellStart"/>
      <w:r w:rsidR="006B7B0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B7B01">
        <w:rPr>
          <w:rFonts w:ascii="Times New Roman" w:hAnsi="Times New Roman" w:cs="Times New Roman"/>
          <w:sz w:val="24"/>
          <w:szCs w:val="24"/>
        </w:rPr>
        <w:t xml:space="preserve"> района – 19 438 чел., Иркутской области в целом – 2 408 901 чел.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7B01">
        <w:rPr>
          <w:rFonts w:ascii="Times New Roman" w:hAnsi="Times New Roman" w:cs="Times New Roman"/>
          <w:sz w:val="24"/>
          <w:szCs w:val="24"/>
        </w:rPr>
        <w:t>.</w:t>
      </w:r>
    </w:p>
    <w:p w:rsidR="006B7B01" w:rsidRDefault="006B7B01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E25" w:rsidRDefault="00F369C3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областным средствам в</w:t>
      </w:r>
      <w:r w:rsidR="000C74E5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F121AC">
        <w:rPr>
          <w:rFonts w:ascii="Times New Roman" w:hAnsi="Times New Roman" w:cs="Times New Roman"/>
          <w:sz w:val="24"/>
          <w:szCs w:val="24"/>
        </w:rPr>
        <w:t xml:space="preserve"> бюджетах </w:t>
      </w:r>
      <w:r>
        <w:rPr>
          <w:rFonts w:ascii="Times New Roman" w:hAnsi="Times New Roman" w:cs="Times New Roman"/>
          <w:sz w:val="24"/>
          <w:szCs w:val="24"/>
        </w:rPr>
        <w:t xml:space="preserve">на текущий год было </w:t>
      </w:r>
      <w:r w:rsidR="00F121AC">
        <w:rPr>
          <w:rFonts w:ascii="Times New Roman" w:hAnsi="Times New Roman" w:cs="Times New Roman"/>
          <w:sz w:val="24"/>
          <w:szCs w:val="24"/>
        </w:rPr>
        <w:t>предусмотрено 2,</w:t>
      </w:r>
      <w:r w:rsidR="00C12B6F">
        <w:rPr>
          <w:rFonts w:ascii="Times New Roman" w:hAnsi="Times New Roman" w:cs="Times New Roman"/>
          <w:sz w:val="24"/>
          <w:szCs w:val="24"/>
        </w:rPr>
        <w:t>7</w:t>
      </w:r>
      <w:r w:rsidR="00F121AC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C12B6F">
        <w:rPr>
          <w:rFonts w:ascii="Times New Roman" w:hAnsi="Times New Roman" w:cs="Times New Roman"/>
          <w:sz w:val="24"/>
          <w:szCs w:val="24"/>
        </w:rPr>
        <w:t xml:space="preserve"> </w:t>
      </w:r>
      <w:r w:rsidR="0028782D">
        <w:rPr>
          <w:rFonts w:ascii="Times New Roman" w:hAnsi="Times New Roman" w:cs="Times New Roman"/>
          <w:sz w:val="24"/>
          <w:szCs w:val="24"/>
        </w:rPr>
        <w:t>В</w:t>
      </w:r>
      <w:r w:rsidR="00C12B6F">
        <w:rPr>
          <w:rFonts w:ascii="Times New Roman" w:hAnsi="Times New Roman" w:cs="Times New Roman"/>
          <w:sz w:val="24"/>
          <w:szCs w:val="24"/>
        </w:rPr>
        <w:t xml:space="preserve">сего </w:t>
      </w:r>
      <w:r w:rsidR="0028782D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проекту «Народные инициативы» </w:t>
      </w:r>
      <w:r w:rsidR="00C12B6F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2E0E25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C12B6F">
        <w:rPr>
          <w:rFonts w:ascii="Times New Roman" w:hAnsi="Times New Roman" w:cs="Times New Roman"/>
          <w:sz w:val="24"/>
          <w:szCs w:val="24"/>
        </w:rPr>
        <w:t>1</w:t>
      </w:r>
      <w:r w:rsidR="00696E39">
        <w:rPr>
          <w:rFonts w:ascii="Times New Roman" w:hAnsi="Times New Roman" w:cs="Times New Roman"/>
          <w:sz w:val="24"/>
          <w:szCs w:val="24"/>
        </w:rPr>
        <w:t>2</w:t>
      </w:r>
      <w:r w:rsidR="00C12B6F">
        <w:rPr>
          <w:rFonts w:ascii="Times New Roman" w:hAnsi="Times New Roman" w:cs="Times New Roman"/>
          <w:sz w:val="24"/>
          <w:szCs w:val="24"/>
        </w:rPr>
        <w:t xml:space="preserve">,1 млн. руб. </w:t>
      </w:r>
    </w:p>
    <w:p w:rsidR="00C12B6F" w:rsidRDefault="002E0E25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2B6F">
        <w:rPr>
          <w:rFonts w:ascii="Times New Roman" w:hAnsi="Times New Roman" w:cs="Times New Roman"/>
          <w:sz w:val="24"/>
          <w:szCs w:val="24"/>
        </w:rPr>
        <w:t>аспределение бюджетных средств выглядит так:</w:t>
      </w:r>
    </w:p>
    <w:p w:rsidR="00CA53F0" w:rsidRDefault="00716567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36"/>
        <w:gridCol w:w="3129"/>
        <w:gridCol w:w="1896"/>
        <w:gridCol w:w="2007"/>
        <w:gridCol w:w="1795"/>
      </w:tblGrid>
      <w:tr w:rsidR="00CA53F0" w:rsidTr="006F6A3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661">
              <w:rPr>
                <w:rFonts w:ascii="Times New Roman" w:hAnsi="Times New Roman" w:cs="Times New Roman"/>
              </w:rPr>
              <w:t>/</w:t>
            </w:r>
            <w:proofErr w:type="spell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E25" w:rsidRDefault="00CA53F0" w:rsidP="00F121A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Финансирование мероприятий проекта</w:t>
            </w:r>
            <w:r w:rsidR="002E0E25">
              <w:rPr>
                <w:rFonts w:ascii="Times New Roman" w:hAnsi="Times New Roman" w:cs="Times New Roman"/>
              </w:rPr>
              <w:t xml:space="preserve"> на 2017 год</w:t>
            </w:r>
            <w:r w:rsidRPr="00CD5661">
              <w:rPr>
                <w:rFonts w:ascii="Times New Roman" w:hAnsi="Times New Roman" w:cs="Times New Roman"/>
              </w:rPr>
              <w:t xml:space="preserve">, </w:t>
            </w:r>
          </w:p>
          <w:p w:rsidR="00CA53F0" w:rsidRPr="00CD5661" w:rsidRDefault="00CA53F0" w:rsidP="00F121A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тыс. руб</w:t>
            </w:r>
            <w:r w:rsidR="00F121AC">
              <w:rPr>
                <w:rFonts w:ascii="Times New Roman" w:hAnsi="Times New Roman" w:cs="Times New Roman"/>
              </w:rPr>
              <w:t>.</w:t>
            </w:r>
          </w:p>
        </w:tc>
      </w:tr>
      <w:tr w:rsidR="00CA53F0" w:rsidTr="006F6A3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53F0" w:rsidTr="006F6A3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85B33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both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МО г. Бодайбо и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6 182,7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5 255,3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927,4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Бодайбинское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4 132,0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2 797,1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1 334,9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Мамаканское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368,8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17,6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Балахнинское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20,0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Артемовское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500,4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350,4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150,0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Кропоткинское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414,6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164,0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Жуинское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D433E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D433E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18,4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D4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12 051,0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D4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9 418,7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8D4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2 632,3</w:t>
            </w:r>
          </w:p>
        </w:tc>
      </w:tr>
    </w:tbl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Default="00CA53F0" w:rsidP="00976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E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2E0E25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="00976795">
        <w:rPr>
          <w:rFonts w:ascii="Times New Roman" w:hAnsi="Times New Roman" w:cs="Times New Roman"/>
          <w:sz w:val="24"/>
          <w:szCs w:val="24"/>
        </w:rPr>
        <w:t xml:space="preserve">на сходах </w:t>
      </w:r>
      <w:r w:rsidR="002E0E25">
        <w:rPr>
          <w:rFonts w:ascii="Times New Roman" w:hAnsi="Times New Roman" w:cs="Times New Roman"/>
          <w:sz w:val="24"/>
          <w:szCs w:val="24"/>
        </w:rPr>
        <w:t xml:space="preserve">и собраниях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жителей и составленного перечня </w:t>
      </w:r>
      <w:r w:rsidR="00976795">
        <w:rPr>
          <w:rFonts w:ascii="Times New Roman" w:hAnsi="Times New Roman" w:cs="Times New Roman"/>
          <w:sz w:val="24"/>
          <w:szCs w:val="24"/>
        </w:rPr>
        <w:t>социальных проектов</w:t>
      </w:r>
      <w:r w:rsidR="0055670B">
        <w:rPr>
          <w:rFonts w:ascii="Times New Roman" w:hAnsi="Times New Roman" w:cs="Times New Roman"/>
          <w:sz w:val="24"/>
          <w:szCs w:val="24"/>
        </w:rPr>
        <w:t>, который был согласован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E25">
        <w:rPr>
          <w:rFonts w:ascii="Times New Roman" w:hAnsi="Times New Roman" w:cs="Times New Roman"/>
          <w:sz w:val="24"/>
          <w:szCs w:val="24"/>
        </w:rPr>
        <w:t>с</w:t>
      </w:r>
      <w:r w:rsidR="00B6517B">
        <w:rPr>
          <w:rFonts w:ascii="Times New Roman" w:hAnsi="Times New Roman" w:cs="Times New Roman"/>
          <w:sz w:val="24"/>
          <w:szCs w:val="24"/>
        </w:rPr>
        <w:t xml:space="preserve"> министерством экономического развития Иркутской области</w:t>
      </w:r>
      <w:r w:rsidR="0055670B">
        <w:rPr>
          <w:rFonts w:ascii="Times New Roman" w:hAnsi="Times New Roman" w:cs="Times New Roman"/>
          <w:sz w:val="24"/>
          <w:szCs w:val="24"/>
        </w:rPr>
        <w:t>,</w:t>
      </w:r>
      <w:r w:rsidR="002E0E25">
        <w:rPr>
          <w:rFonts w:ascii="Times New Roman" w:hAnsi="Times New Roman" w:cs="Times New Roman"/>
          <w:sz w:val="24"/>
          <w:szCs w:val="24"/>
        </w:rPr>
        <w:t xml:space="preserve"> осуществлены </w:t>
      </w:r>
      <w:r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A53F0" w:rsidRDefault="00CA53F0" w:rsidP="00CA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675"/>
        <w:gridCol w:w="5005"/>
        <w:gridCol w:w="1417"/>
        <w:gridCol w:w="1322"/>
        <w:gridCol w:w="1181"/>
      </w:tblGrid>
      <w:tr w:rsidR="00CA53F0" w:rsidRPr="00CD5661" w:rsidTr="0097679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661">
              <w:rPr>
                <w:rFonts w:ascii="Times New Roman" w:hAnsi="Times New Roman" w:cs="Times New Roman"/>
              </w:rPr>
              <w:t>/</w:t>
            </w:r>
            <w:proofErr w:type="spell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Муниципальное образование</w:t>
            </w:r>
            <w:r w:rsidR="001E15E0">
              <w:rPr>
                <w:rFonts w:ascii="Times New Roman" w:hAnsi="Times New Roman" w:cs="Times New Roman"/>
              </w:rPr>
              <w:t>, мероприятия народных инициатив</w:t>
            </w:r>
          </w:p>
        </w:tc>
        <w:tc>
          <w:tcPr>
            <w:tcW w:w="3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Финансирование мероприятий проекта</w:t>
            </w:r>
            <w:r w:rsidR="0055670B">
              <w:rPr>
                <w:rFonts w:ascii="Times New Roman" w:hAnsi="Times New Roman" w:cs="Times New Roman"/>
              </w:rPr>
              <w:t xml:space="preserve"> в 2017 году</w:t>
            </w:r>
            <w:r w:rsidRPr="00CD5661">
              <w:rPr>
                <w:rFonts w:ascii="Times New Roman" w:hAnsi="Times New Roman" w:cs="Times New Roman"/>
              </w:rPr>
              <w:t>, тыс. рублей</w:t>
            </w:r>
          </w:p>
        </w:tc>
      </w:tr>
      <w:tr w:rsidR="00CA53F0" w:rsidRPr="00CD5661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53F0" w:rsidRPr="00CD5661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976795" w:rsidRPr="00CD5661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976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9767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 xml:space="preserve">МО </w:t>
            </w:r>
            <w:r w:rsidR="00CD5661" w:rsidRPr="00CD5661">
              <w:rPr>
                <w:rFonts w:ascii="Times New Roman" w:hAnsi="Times New Roman" w:cs="Times New Roman"/>
                <w:b/>
              </w:rPr>
              <w:t xml:space="preserve">г. Бодайбо и района </w:t>
            </w:r>
            <w:r w:rsidRPr="00CD5661">
              <w:rPr>
                <w:rFonts w:ascii="Times New Roman" w:hAnsi="Times New Roman" w:cs="Times New Roman"/>
                <w:b/>
              </w:rPr>
              <w:t xml:space="preserve">– всего, </w:t>
            </w: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CD5661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6 182,7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CD5661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5 255,3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CD5661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927,4</w:t>
            </w:r>
          </w:p>
        </w:tc>
      </w:tr>
      <w:tr w:rsidR="007517AE" w:rsidRPr="00CD5661" w:rsidTr="009869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AE" w:rsidRPr="00CD5661" w:rsidRDefault="00CD5661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CD5661" w:rsidP="00CD5661">
            <w:pPr>
              <w:jc w:val="both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 xml:space="preserve">Приобретение и устройство детских игровых комплексов (4 </w:t>
            </w:r>
            <w:proofErr w:type="spellStart"/>
            <w:proofErr w:type="gramStart"/>
            <w:r w:rsidRPr="00CD566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5661">
              <w:rPr>
                <w:rFonts w:ascii="Times New Roman" w:hAnsi="Times New Roman" w:cs="Times New Roman"/>
              </w:rPr>
              <w:t xml:space="preserve">) для тематических игровых площадок МБДОУ </w:t>
            </w:r>
            <w:proofErr w:type="spellStart"/>
            <w:r w:rsidRPr="00CD5661">
              <w:rPr>
                <w:rFonts w:ascii="Times New Roman" w:hAnsi="Times New Roman" w:cs="Times New Roman"/>
              </w:rPr>
              <w:t>д</w:t>
            </w:r>
            <w:proofErr w:type="spellEnd"/>
            <w:r w:rsidRPr="00CD5661">
              <w:rPr>
                <w:rFonts w:ascii="Times New Roman" w:hAnsi="Times New Roman" w:cs="Times New Roman"/>
              </w:rPr>
              <w:t>/с № 32 «Сказка» г. Бодайбо</w:t>
            </w:r>
            <w:r>
              <w:rPr>
                <w:rFonts w:ascii="Times New Roman" w:hAnsi="Times New Roman" w:cs="Times New Roman"/>
              </w:rPr>
              <w:t xml:space="preserve">, МКДОУ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№ 8 «Буратино» п. </w:t>
            </w:r>
            <w:proofErr w:type="spellStart"/>
            <w:r>
              <w:rPr>
                <w:rFonts w:ascii="Times New Roman" w:hAnsi="Times New Roman" w:cs="Times New Roman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15592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="00315592">
              <w:rPr>
                <w:rFonts w:ascii="Times New Roman" w:hAnsi="Times New Roman" w:cs="Times New Roman"/>
              </w:rPr>
              <w:t>д</w:t>
            </w:r>
            <w:proofErr w:type="spellEnd"/>
            <w:r w:rsidR="00315592">
              <w:rPr>
                <w:rFonts w:ascii="Times New Roman" w:hAnsi="Times New Roman" w:cs="Times New Roman"/>
              </w:rPr>
              <w:t xml:space="preserve">/с №22 «Улыбка» п. Артемовский, МДОУ </w:t>
            </w:r>
            <w:proofErr w:type="spellStart"/>
            <w:r w:rsidR="00315592">
              <w:rPr>
                <w:rFonts w:ascii="Times New Roman" w:hAnsi="Times New Roman" w:cs="Times New Roman"/>
              </w:rPr>
              <w:t>д</w:t>
            </w:r>
            <w:proofErr w:type="spellEnd"/>
            <w:r w:rsidR="00315592">
              <w:rPr>
                <w:rFonts w:ascii="Times New Roman" w:hAnsi="Times New Roman" w:cs="Times New Roman"/>
              </w:rPr>
              <w:t>/с № 15 «</w:t>
            </w:r>
            <w:proofErr w:type="spellStart"/>
            <w:r w:rsidR="00315592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="00315592">
              <w:rPr>
                <w:rFonts w:ascii="Times New Roman" w:hAnsi="Times New Roman" w:cs="Times New Roman"/>
              </w:rPr>
              <w:t>» п. Кропоткин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00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4 482,7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31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3 810,3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00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672,4</w:t>
            </w:r>
          </w:p>
        </w:tc>
      </w:tr>
      <w:tr w:rsidR="007517AE" w:rsidRPr="00CD5661" w:rsidTr="009869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AE" w:rsidRPr="00CD5661" w:rsidRDefault="0031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315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 для МУ «Ремонтно-эксплуатационная служба образовательных учреждений  г. Бодайбо и района» на базе УАЗ модель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>9728-02 Высокий для перевозки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00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00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315592" w:rsidP="00004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</w:tr>
      <w:tr w:rsidR="00976795" w:rsidRPr="00CD5661" w:rsidTr="009869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795" w:rsidRPr="00CD5661" w:rsidRDefault="0031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3155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FCD">
              <w:rPr>
                <w:rFonts w:ascii="Times New Roman" w:hAnsi="Times New Roman" w:cs="Times New Roman"/>
                <w:b/>
              </w:rPr>
              <w:t>Бодайбинское</w:t>
            </w:r>
            <w:proofErr w:type="spellEnd"/>
            <w:r w:rsidRPr="00B72FCD">
              <w:rPr>
                <w:rFonts w:ascii="Times New Roman" w:hAnsi="Times New Roman" w:cs="Times New Roman"/>
                <w:b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2FCD">
              <w:rPr>
                <w:rFonts w:ascii="Times New Roman" w:hAnsi="Times New Roman" w:cs="Times New Roman"/>
              </w:rPr>
              <w:t>– всего,</w:t>
            </w:r>
            <w:r w:rsidR="00E024B3">
              <w:rPr>
                <w:rFonts w:ascii="Times New Roman" w:hAnsi="Times New Roman" w:cs="Times New Roman"/>
              </w:rPr>
              <w:t xml:space="preserve"> </w:t>
            </w:r>
            <w:r w:rsidR="00B72FC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771A87" w:rsidRDefault="00771A87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87">
              <w:rPr>
                <w:rFonts w:ascii="Times New Roman" w:hAnsi="Times New Roman" w:cs="Times New Roman"/>
                <w:b/>
              </w:rPr>
              <w:t>4 132,0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771A87" w:rsidRDefault="00771A87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87">
              <w:rPr>
                <w:rFonts w:ascii="Times New Roman" w:hAnsi="Times New Roman" w:cs="Times New Roman"/>
                <w:b/>
              </w:rPr>
              <w:t>2 797,0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771A87" w:rsidRDefault="00771A87" w:rsidP="00004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87">
              <w:rPr>
                <w:rFonts w:ascii="Times New Roman" w:hAnsi="Times New Roman" w:cs="Times New Roman"/>
                <w:b/>
              </w:rPr>
              <w:t>1 334,0</w:t>
            </w:r>
          </w:p>
        </w:tc>
      </w:tr>
      <w:tr w:rsidR="00771A87" w:rsidRPr="00CD5661" w:rsidTr="00276F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7" w:rsidRPr="00771A87" w:rsidRDefault="00771A87">
            <w:pPr>
              <w:jc w:val="center"/>
              <w:rPr>
                <w:rFonts w:ascii="Times New Roman" w:hAnsi="Times New Roman" w:cs="Times New Roman"/>
              </w:rPr>
            </w:pPr>
            <w:r w:rsidRPr="00771A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7" w:rsidRPr="00771A87" w:rsidRDefault="00771A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в муниципальную собственность для организации транспортных услуг населению в установленном законодательством порядке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7" w:rsidRPr="00CD5661" w:rsidRDefault="00771A87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4 132,0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7" w:rsidRPr="00CD5661" w:rsidRDefault="00771A87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7" w:rsidRPr="00CD5661" w:rsidRDefault="00771A87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1 334,0</w:t>
            </w:r>
          </w:p>
        </w:tc>
      </w:tr>
      <w:tr w:rsidR="001E15E0" w:rsidRPr="00CD5661" w:rsidTr="00EE7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E0" w:rsidRPr="00CD5661" w:rsidRDefault="001E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CD5661" w:rsidRDefault="001E15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4B3">
              <w:rPr>
                <w:rFonts w:ascii="Times New Roman" w:hAnsi="Times New Roman" w:cs="Times New Roman"/>
                <w:b/>
              </w:rPr>
              <w:t>Мамаканское</w:t>
            </w:r>
            <w:proofErr w:type="spellEnd"/>
            <w:r w:rsidRPr="00E024B3">
              <w:rPr>
                <w:rFonts w:ascii="Times New Roman" w:hAnsi="Times New Roman" w:cs="Times New Roman"/>
                <w:b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– всего,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368,8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351,2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17,6</w:t>
            </w:r>
          </w:p>
        </w:tc>
      </w:tr>
      <w:tr w:rsidR="001E15E0" w:rsidRPr="00CD5661" w:rsidTr="00EE781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E0" w:rsidRPr="001E15E0" w:rsidRDefault="001E15E0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>
            <w:pPr>
              <w:jc w:val="both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Ремонт участков автомобильной дороги общего пользования по ул. Красноармейская (423,2 м</w:t>
            </w:r>
            <w:r w:rsidRPr="001E15E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1E15E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E15E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368,8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17,6</w:t>
            </w:r>
          </w:p>
        </w:tc>
      </w:tr>
      <w:tr w:rsidR="001E15E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Балахнинское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268,1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248,1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1E15E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E0" w:rsidRPr="001E15E0" w:rsidRDefault="001E15E0" w:rsidP="001E15E0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015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 xml:space="preserve">Ремонт участка автомобильной дороги по ул. </w:t>
            </w:r>
            <w:proofErr w:type="gramStart"/>
            <w:r w:rsidRPr="001E15E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1E15E0">
              <w:rPr>
                <w:rFonts w:ascii="Times New Roman" w:hAnsi="Times New Roman" w:cs="Times New Roman"/>
              </w:rPr>
              <w:t xml:space="preserve"> от дома № 16 до дома № 28 (протяженностью 130 п.м.)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20,0</w:t>
            </w:r>
          </w:p>
        </w:tc>
      </w:tr>
      <w:tr w:rsidR="001E15E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 xml:space="preserve">Артемовское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500,4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350,4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1E15E0" w:rsidRDefault="001E15E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1E15E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5E0" w:rsidRPr="001E15E0" w:rsidRDefault="001E1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5E0" w:rsidRPr="001E15E0" w:rsidRDefault="001E15E0" w:rsidP="009207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и установка (собственными силами)</w:t>
            </w:r>
            <w:r w:rsidR="00CE7DD0">
              <w:rPr>
                <w:rFonts w:ascii="Times New Roman" w:hAnsi="Times New Roman" w:cs="Times New Roman"/>
              </w:rPr>
              <w:t xml:space="preserve"> оборудования и ограждения для детской </w:t>
            </w:r>
            <w:r w:rsidR="00CE7DD0">
              <w:rPr>
                <w:rFonts w:ascii="Times New Roman" w:hAnsi="Times New Roman" w:cs="Times New Roman"/>
              </w:rPr>
              <w:lastRenderedPageBreak/>
              <w:t>игровой площадки (уличные тренажеры, качели, лавки, урны, ограждение) по ул. Геологической п. Артемовский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429,3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5E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E7DD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D0" w:rsidRDefault="00CE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D0" w:rsidRDefault="00CE7DD0" w:rsidP="0092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(собственными силами) остановочных павильонов по ул. Подгорной и ул. Артемовской (2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п. Артемовский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7DD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D0" w:rsidRPr="001E15E0" w:rsidRDefault="00CE7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D0" w:rsidRPr="001E15E0" w:rsidRDefault="00CE7DD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Кропоткинское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E7DD0" w:rsidRDefault="00CE7DD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DD0">
              <w:rPr>
                <w:rFonts w:ascii="Times New Roman" w:hAnsi="Times New Roman" w:cs="Times New Roman"/>
                <w:b/>
              </w:rPr>
              <w:t>414,6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E7DD0" w:rsidRDefault="00CE7DD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DD0">
              <w:rPr>
                <w:rFonts w:ascii="Times New Roman" w:hAnsi="Times New Roman" w:cs="Times New Roman"/>
                <w:b/>
              </w:rPr>
              <w:t>250,6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E7DD0" w:rsidRDefault="00CE7DD0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DD0">
              <w:rPr>
                <w:rFonts w:ascii="Times New Roman" w:hAnsi="Times New Roman" w:cs="Times New Roman"/>
                <w:b/>
              </w:rPr>
              <w:t>164,0</w:t>
            </w:r>
          </w:p>
        </w:tc>
      </w:tr>
      <w:tr w:rsidR="00CE7DD0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DD0" w:rsidRPr="001E15E0" w:rsidRDefault="00CE7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DD0" w:rsidRPr="001E15E0" w:rsidRDefault="00A47679" w:rsidP="0092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пешеходного тротуара (замена асфальтовых вкладок) по </w:t>
            </w:r>
            <w:proofErr w:type="spellStart"/>
            <w:r>
              <w:rPr>
                <w:rFonts w:ascii="Times New Roman" w:hAnsi="Times New Roman" w:cs="Times New Roman"/>
              </w:rPr>
              <w:t>укл</w:t>
            </w:r>
            <w:proofErr w:type="spellEnd"/>
            <w:r>
              <w:rPr>
                <w:rFonts w:ascii="Times New Roman" w:hAnsi="Times New Roman" w:cs="Times New Roman"/>
              </w:rPr>
              <w:t>. Центральной протяженностью 143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414,6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250,6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DD0" w:rsidRPr="00CD5661" w:rsidRDefault="00CE7DD0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164,0</w:t>
            </w:r>
          </w:p>
        </w:tc>
      </w:tr>
      <w:tr w:rsidR="00A4767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79" w:rsidRPr="001E15E0" w:rsidRDefault="00A4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79" w:rsidRPr="001E15E0" w:rsidRDefault="00A4767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Жуинское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A47679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79">
              <w:rPr>
                <w:rFonts w:ascii="Times New Roman" w:hAnsi="Times New Roman" w:cs="Times New Roman"/>
                <w:b/>
              </w:rPr>
              <w:t>184,4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A47679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79">
              <w:rPr>
                <w:rFonts w:ascii="Times New Roman" w:hAnsi="Times New Roman" w:cs="Times New Roman"/>
                <w:b/>
              </w:rPr>
              <w:t>166,0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A47679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679">
              <w:rPr>
                <w:rFonts w:ascii="Times New Roman" w:hAnsi="Times New Roman" w:cs="Times New Roman"/>
                <w:b/>
              </w:rPr>
              <w:t>18,4</w:t>
            </w:r>
          </w:p>
        </w:tc>
      </w:tr>
      <w:tr w:rsidR="00A4767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679" w:rsidRPr="001E15E0" w:rsidRDefault="00A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79" w:rsidRPr="001E15E0" w:rsidRDefault="00A47679" w:rsidP="00DB7E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мусорных контейнеров для ТБО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Перевоз (6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18,4</w:t>
            </w:r>
          </w:p>
        </w:tc>
      </w:tr>
      <w:tr w:rsidR="00A47679" w:rsidTr="0097679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679" w:rsidRPr="001E15E0" w:rsidRDefault="00A4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679" w:rsidRPr="001E15E0" w:rsidRDefault="00A476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12 051,0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9 418,7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679" w:rsidRPr="00CD5661" w:rsidRDefault="00A47679" w:rsidP="0026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2 632,3</w:t>
            </w:r>
          </w:p>
        </w:tc>
      </w:tr>
    </w:tbl>
    <w:p w:rsidR="00CA53F0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70B">
        <w:rPr>
          <w:rFonts w:ascii="Times New Roman" w:hAnsi="Times New Roman" w:cs="Times New Roman"/>
          <w:sz w:val="24"/>
          <w:szCs w:val="24"/>
        </w:rPr>
        <w:t>Для осуществления мероприятий были проведены торги,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5670B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были выбраны подрядчики, выполнившие вышеуказанные работы качественно и в установленные сроки.</w:t>
      </w:r>
    </w:p>
    <w:p w:rsidR="00D25ED7" w:rsidRDefault="00D25ED7" w:rsidP="00D25ED7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каждым годом условия реализации проекта усложняются.  Если с начала действия программы была возможность устанавливать детские  площадки во дворах, осуществлять реконструкцию, то сегодня областные средства нельзя направлять на такие серьезные  мероприятия: капитальный ремонт или благоустройство придомовых территорий; строительство, реконструкция и ремонт объектов муниципальной собственности; разработка проектно-сметной документации; мероприятия по изготовлению паспортов отходов и энергетического обследования объектов; приобретение программного обеспечения, мебели и легковых автомобилей для местных администраций и др. Даже при таких жестких условиях администрации района стараются поддержать и выполнить пожелания граждан.</w:t>
      </w:r>
    </w:p>
    <w:p w:rsidR="00326F74" w:rsidRDefault="0055670B" w:rsidP="00D25E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продвижения проекта «Народные инициативы», привлечения как мо</w:t>
      </w:r>
      <w:r w:rsidR="00D25ED7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большего числа участников и заинтересованных граждан, на официальном портале Правительства Иркутской области создана информационно-аналитическая система «Живой регион» (ИАС «Живой регион»), где размещается информация о проделанной работе в каждом муниципальном образовании Иркутской области.</w:t>
      </w:r>
    </w:p>
    <w:p w:rsidR="00162BD9" w:rsidRDefault="00587FF6" w:rsidP="00D3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положительный опыт и эффективность реализации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25ED7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«Народные инициативы»</w:t>
      </w:r>
      <w:r w:rsidR="00D2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D25ED7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при обсуждении проекта областного бюджета на 2018 год и плановый период 2019-2020 годы депутаты Законодательного Собрания </w:t>
      </w:r>
      <w:r w:rsidR="00B83C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ркутской области совместно с Правительством </w:t>
      </w:r>
      <w:r w:rsidR="00D334D6">
        <w:rPr>
          <w:rFonts w:ascii="Times New Roman" w:hAnsi="Times New Roman" w:cs="Times New Roman"/>
          <w:sz w:val="24"/>
          <w:szCs w:val="24"/>
        </w:rPr>
        <w:t xml:space="preserve">региона предусмотрели увеличение </w:t>
      </w:r>
      <w:r w:rsidR="00D25ED7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="00D334D6">
        <w:rPr>
          <w:rFonts w:ascii="Times New Roman" w:hAnsi="Times New Roman" w:cs="Times New Roman"/>
          <w:sz w:val="24"/>
          <w:szCs w:val="24"/>
        </w:rPr>
        <w:t>финансиров</w:t>
      </w:r>
      <w:r w:rsidR="00D25ED7">
        <w:rPr>
          <w:rFonts w:ascii="Times New Roman" w:hAnsi="Times New Roman" w:cs="Times New Roman"/>
          <w:sz w:val="24"/>
          <w:szCs w:val="24"/>
        </w:rPr>
        <w:t>а</w:t>
      </w:r>
      <w:r w:rsidR="00D334D6">
        <w:rPr>
          <w:rFonts w:ascii="Times New Roman" w:hAnsi="Times New Roman" w:cs="Times New Roman"/>
          <w:sz w:val="24"/>
          <w:szCs w:val="24"/>
        </w:rPr>
        <w:t xml:space="preserve">ния </w:t>
      </w:r>
      <w:r w:rsidR="007A18B8">
        <w:rPr>
          <w:rFonts w:ascii="Times New Roman" w:hAnsi="Times New Roman" w:cs="Times New Roman"/>
          <w:sz w:val="24"/>
          <w:szCs w:val="24"/>
        </w:rPr>
        <w:t>проекта в 2018 году</w:t>
      </w:r>
      <w:r w:rsidR="00D334D6">
        <w:rPr>
          <w:rFonts w:ascii="Times New Roman" w:hAnsi="Times New Roman" w:cs="Times New Roman"/>
          <w:sz w:val="24"/>
          <w:szCs w:val="24"/>
        </w:rPr>
        <w:t xml:space="preserve"> на 150 млн. руб. </w:t>
      </w:r>
      <w:r w:rsidR="007A18B8">
        <w:rPr>
          <w:rFonts w:ascii="Times New Roman" w:hAnsi="Times New Roman" w:cs="Times New Roman"/>
          <w:sz w:val="24"/>
          <w:szCs w:val="24"/>
        </w:rPr>
        <w:t>Планируется, что</w:t>
      </w:r>
      <w:r w:rsidR="00D334D6">
        <w:rPr>
          <w:rFonts w:ascii="Times New Roman" w:hAnsi="Times New Roman" w:cs="Times New Roman"/>
          <w:sz w:val="24"/>
          <w:szCs w:val="24"/>
        </w:rPr>
        <w:t xml:space="preserve"> в 2018 году сумма</w:t>
      </w:r>
      <w:proofErr w:type="gramEnd"/>
      <w:r w:rsidR="00D334D6">
        <w:rPr>
          <w:rFonts w:ascii="Times New Roman" w:hAnsi="Times New Roman" w:cs="Times New Roman"/>
          <w:sz w:val="24"/>
          <w:szCs w:val="24"/>
        </w:rPr>
        <w:t xml:space="preserve"> выделенных средств на реализацию проектов «Народные инициативы» составит 650 млн. руб.</w:t>
      </w:r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52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5E4861" w:rsidRDefault="00162BD9" w:rsidP="00162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Нач.ОЭАиП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Соколова О.А.</w:t>
      </w:r>
    </w:p>
    <w:sectPr w:rsidR="005E4861" w:rsidSect="00162B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53F0"/>
    <w:rsid w:val="000151ED"/>
    <w:rsid w:val="00043D23"/>
    <w:rsid w:val="00053757"/>
    <w:rsid w:val="00083BEE"/>
    <w:rsid w:val="00097762"/>
    <w:rsid w:val="000C74E5"/>
    <w:rsid w:val="000D5E59"/>
    <w:rsid w:val="001141F8"/>
    <w:rsid w:val="00162BD9"/>
    <w:rsid w:val="00173168"/>
    <w:rsid w:val="001A3071"/>
    <w:rsid w:val="001E15E0"/>
    <w:rsid w:val="001F7887"/>
    <w:rsid w:val="00240575"/>
    <w:rsid w:val="00255A15"/>
    <w:rsid w:val="0026064D"/>
    <w:rsid w:val="00263849"/>
    <w:rsid w:val="00283799"/>
    <w:rsid w:val="0028782D"/>
    <w:rsid w:val="002E0E25"/>
    <w:rsid w:val="00315592"/>
    <w:rsid w:val="00322129"/>
    <w:rsid w:val="00326F74"/>
    <w:rsid w:val="00354601"/>
    <w:rsid w:val="00357AA3"/>
    <w:rsid w:val="00373BC7"/>
    <w:rsid w:val="003F638B"/>
    <w:rsid w:val="00416263"/>
    <w:rsid w:val="004323E0"/>
    <w:rsid w:val="004548CB"/>
    <w:rsid w:val="00472B0E"/>
    <w:rsid w:val="004F45FC"/>
    <w:rsid w:val="00535AF6"/>
    <w:rsid w:val="0055670B"/>
    <w:rsid w:val="005630E7"/>
    <w:rsid w:val="00570856"/>
    <w:rsid w:val="00587FF6"/>
    <w:rsid w:val="005A1030"/>
    <w:rsid w:val="005E4861"/>
    <w:rsid w:val="006919F9"/>
    <w:rsid w:val="00696E39"/>
    <w:rsid w:val="006B141D"/>
    <w:rsid w:val="006B339C"/>
    <w:rsid w:val="006B7B01"/>
    <w:rsid w:val="006D1B6F"/>
    <w:rsid w:val="006F6A3F"/>
    <w:rsid w:val="00716567"/>
    <w:rsid w:val="0073405B"/>
    <w:rsid w:val="007517AE"/>
    <w:rsid w:val="007518C8"/>
    <w:rsid w:val="00771A87"/>
    <w:rsid w:val="007926D0"/>
    <w:rsid w:val="007A18B8"/>
    <w:rsid w:val="007C23C8"/>
    <w:rsid w:val="00834838"/>
    <w:rsid w:val="00834C56"/>
    <w:rsid w:val="0084679A"/>
    <w:rsid w:val="00885B33"/>
    <w:rsid w:val="008B3C9E"/>
    <w:rsid w:val="008D2F64"/>
    <w:rsid w:val="008D433E"/>
    <w:rsid w:val="0090491D"/>
    <w:rsid w:val="00905BAA"/>
    <w:rsid w:val="009207CF"/>
    <w:rsid w:val="00955256"/>
    <w:rsid w:val="00976795"/>
    <w:rsid w:val="009A6753"/>
    <w:rsid w:val="00A0275D"/>
    <w:rsid w:val="00A47679"/>
    <w:rsid w:val="00A92D69"/>
    <w:rsid w:val="00B45E57"/>
    <w:rsid w:val="00B6517B"/>
    <w:rsid w:val="00B72FCD"/>
    <w:rsid w:val="00B807EB"/>
    <w:rsid w:val="00B83CE4"/>
    <w:rsid w:val="00B85D28"/>
    <w:rsid w:val="00BD7143"/>
    <w:rsid w:val="00BF765C"/>
    <w:rsid w:val="00C019A7"/>
    <w:rsid w:val="00C04624"/>
    <w:rsid w:val="00C074B9"/>
    <w:rsid w:val="00C12B6F"/>
    <w:rsid w:val="00C55304"/>
    <w:rsid w:val="00C97C44"/>
    <w:rsid w:val="00CA53F0"/>
    <w:rsid w:val="00CD5661"/>
    <w:rsid w:val="00CE052C"/>
    <w:rsid w:val="00CE7DD0"/>
    <w:rsid w:val="00D020B4"/>
    <w:rsid w:val="00D25ED7"/>
    <w:rsid w:val="00D334D6"/>
    <w:rsid w:val="00D46CFD"/>
    <w:rsid w:val="00D4710B"/>
    <w:rsid w:val="00D51B35"/>
    <w:rsid w:val="00D70311"/>
    <w:rsid w:val="00D76F58"/>
    <w:rsid w:val="00DB7EF9"/>
    <w:rsid w:val="00DD2652"/>
    <w:rsid w:val="00DE141C"/>
    <w:rsid w:val="00E024B3"/>
    <w:rsid w:val="00E61441"/>
    <w:rsid w:val="00E74C46"/>
    <w:rsid w:val="00E8113B"/>
    <w:rsid w:val="00ED2D3F"/>
    <w:rsid w:val="00F121AC"/>
    <w:rsid w:val="00F369C3"/>
    <w:rsid w:val="00F43941"/>
    <w:rsid w:val="00F66542"/>
    <w:rsid w:val="00FB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3AD6-1493-4AB7-BDE6-BEDB9EC8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31</cp:revision>
  <cp:lastPrinted>2017-11-15T08:30:00Z</cp:lastPrinted>
  <dcterms:created xsi:type="dcterms:W3CDTF">2016-10-26T04:43:00Z</dcterms:created>
  <dcterms:modified xsi:type="dcterms:W3CDTF">2017-11-16T02:51:00Z</dcterms:modified>
</cp:coreProperties>
</file>