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8B" w:rsidRPr="00A92CA6" w:rsidRDefault="00F91A8B" w:rsidP="00F91A8B">
      <w:pPr>
        <w:jc w:val="center"/>
        <w:rPr>
          <w:rFonts w:eastAsia="Times New Roman"/>
          <w:b/>
          <w:lang w:eastAsia="ru-RU"/>
        </w:rPr>
      </w:pPr>
      <w:r w:rsidRPr="00A92CA6">
        <w:rPr>
          <w:rFonts w:eastAsia="Times New Roman"/>
          <w:b/>
          <w:lang w:eastAsia="ru-RU"/>
        </w:rPr>
        <w:t>Информация</w:t>
      </w:r>
    </w:p>
    <w:p w:rsidR="00F91A8B" w:rsidRPr="00A92CA6" w:rsidRDefault="00F91A8B" w:rsidP="00F91A8B">
      <w:pPr>
        <w:jc w:val="center"/>
        <w:rPr>
          <w:rFonts w:eastAsia="Times New Roman"/>
          <w:b/>
          <w:lang w:eastAsia="ru-RU"/>
        </w:rPr>
      </w:pPr>
      <w:r w:rsidRPr="00A92CA6">
        <w:rPr>
          <w:rFonts w:eastAsia="Times New Roman"/>
          <w:b/>
          <w:lang w:eastAsia="ru-RU"/>
        </w:rPr>
        <w:t xml:space="preserve">  начальника Управления культуры администрации муниципального образования г. Бодайбо и района:</w:t>
      </w:r>
    </w:p>
    <w:p w:rsidR="00BA038A" w:rsidRPr="00A92CA6" w:rsidRDefault="00F91A8B" w:rsidP="00BA038A">
      <w:pPr>
        <w:jc w:val="center"/>
        <w:rPr>
          <w:rFonts w:eastAsia="Times New Roman"/>
          <w:b/>
          <w:lang w:eastAsia="ru-RU"/>
        </w:rPr>
      </w:pPr>
      <w:r w:rsidRPr="00A92CA6">
        <w:rPr>
          <w:rFonts w:eastAsia="Times New Roman"/>
          <w:b/>
          <w:lang w:eastAsia="ru-RU"/>
        </w:rPr>
        <w:t>на Думу г. Бодайбо и района</w:t>
      </w:r>
    </w:p>
    <w:p w:rsidR="00F91A8B" w:rsidRPr="00A92CA6" w:rsidRDefault="00BA038A" w:rsidP="00BA038A">
      <w:pPr>
        <w:jc w:val="center"/>
        <w:rPr>
          <w:rFonts w:eastAsia="Times New Roman"/>
          <w:b/>
          <w:lang w:eastAsia="ru-RU"/>
        </w:rPr>
      </w:pPr>
      <w:r w:rsidRPr="00A92CA6">
        <w:rPr>
          <w:rFonts w:eastAsia="Times New Roman"/>
          <w:b/>
          <w:lang w:eastAsia="ru-RU"/>
        </w:rPr>
        <w:t xml:space="preserve">«О деятельности Бодайбинского </w:t>
      </w:r>
      <w:r w:rsidR="00B15FAA" w:rsidRPr="00A92CA6">
        <w:rPr>
          <w:rFonts w:eastAsia="Times New Roman"/>
          <w:b/>
          <w:lang w:eastAsia="ru-RU"/>
        </w:rPr>
        <w:t xml:space="preserve">городского </w:t>
      </w:r>
      <w:r w:rsidRPr="00A92CA6">
        <w:rPr>
          <w:rFonts w:eastAsia="Times New Roman"/>
          <w:b/>
          <w:lang w:eastAsia="ru-RU"/>
        </w:rPr>
        <w:t>краеведческого музея</w:t>
      </w:r>
    </w:p>
    <w:p w:rsidR="00F91A8B" w:rsidRPr="00A92CA6" w:rsidRDefault="00F91A8B" w:rsidP="00BA038A">
      <w:pPr>
        <w:jc w:val="center"/>
        <w:rPr>
          <w:rFonts w:eastAsia="Times New Roman"/>
          <w:b/>
          <w:lang w:eastAsia="ru-RU"/>
        </w:rPr>
      </w:pPr>
      <w:r w:rsidRPr="00A92CA6">
        <w:rPr>
          <w:rFonts w:eastAsia="Times New Roman"/>
          <w:b/>
          <w:lang w:eastAsia="ru-RU"/>
        </w:rPr>
        <w:t>им. В.Ф</w:t>
      </w:r>
      <w:r w:rsidR="00454369" w:rsidRPr="00A92CA6">
        <w:rPr>
          <w:rFonts w:eastAsia="Times New Roman"/>
          <w:b/>
          <w:lang w:eastAsia="ru-RU"/>
        </w:rPr>
        <w:t>. Верещагина</w:t>
      </w:r>
      <w:r w:rsidR="00BA038A" w:rsidRPr="00A92CA6">
        <w:rPr>
          <w:rFonts w:eastAsia="Times New Roman"/>
          <w:b/>
          <w:lang w:eastAsia="ru-RU"/>
        </w:rPr>
        <w:t xml:space="preserve"> за 2015-2018 годы, планы и перспективы работы»</w:t>
      </w:r>
    </w:p>
    <w:p w:rsidR="007D2220" w:rsidRPr="00A92CA6" w:rsidRDefault="007D2220"/>
    <w:p w:rsidR="00E60BEE" w:rsidRPr="00A92CA6" w:rsidRDefault="00E60BEE" w:rsidP="00855214">
      <w:pPr>
        <w:spacing w:line="276" w:lineRule="auto"/>
        <w:ind w:firstLine="708"/>
        <w:jc w:val="both"/>
        <w:rPr>
          <w:rFonts w:eastAsia="Times New Roman"/>
          <w:lang w:eastAsia="ru-RU"/>
        </w:rPr>
      </w:pPr>
      <w:r w:rsidRPr="00A92CA6">
        <w:rPr>
          <w:rFonts w:eastAsia="Times New Roman"/>
          <w:lang w:eastAsia="ru-RU"/>
        </w:rPr>
        <w:t>Духовное богатство любого народа предопределяется его способностью сохранять свою историческую память, беречь и развивать национальные культурные традиции, формировать подрастающее поколение. Поэтому деятельность Бодайбинского городского краеведческого музея им. В.Ф.Верещагина, как специального культурного учреждения, направлена на сохранение предметов и информации, которая является главной ролью в изучении и сохранении памятников истории, культурных традиций,  воспитании патриотического уважения и любви к своей малой Родине на основе подлинных материалов.</w:t>
      </w:r>
    </w:p>
    <w:p w:rsidR="00E60BEE" w:rsidRPr="00A92CA6" w:rsidRDefault="00E60BEE" w:rsidP="00855214">
      <w:pPr>
        <w:spacing w:line="276" w:lineRule="auto"/>
        <w:ind w:firstLine="708"/>
        <w:jc w:val="both"/>
        <w:rPr>
          <w:rFonts w:eastAsia="Times New Roman"/>
          <w:lang w:eastAsia="ru-RU"/>
        </w:rPr>
      </w:pPr>
      <w:r w:rsidRPr="00A92CA6">
        <w:rPr>
          <w:rFonts w:eastAsia="Times New Roman"/>
          <w:lang w:eastAsia="ru-RU"/>
        </w:rPr>
        <w:t>Бодайбинский городской краеведческий  музей на протяжении всей своей деятельности осуществляет комплектование, хранение, учет, популяризацию музейных предметов и коллекций. Проводит исследовательскую работу в области истории и культуры. Осуществляет экспозиционно-выставочную деятельность, обеспечивает экскурсионное, лекционное обслуживание посетителей. Ведет просветительскую деятельность, проводит массовую работу среди населения, организует краеведческие чтения среди учащихся школ, участвует в семинарах районного  значения. Музей активно вовлечён в жизнь своей территории</w:t>
      </w:r>
      <w:r w:rsidR="00180936" w:rsidRPr="00A92CA6">
        <w:rPr>
          <w:rFonts w:eastAsia="Times New Roman"/>
          <w:lang w:eastAsia="ru-RU"/>
        </w:rPr>
        <w:t xml:space="preserve">, принимает активное участие в мероприятиях районного уровня, сотрудничает со многими организациями и предприятиями города, образовательными учреждениями. </w:t>
      </w:r>
    </w:p>
    <w:p w:rsidR="00E60BEE" w:rsidRPr="00A92CA6" w:rsidRDefault="00E60BEE" w:rsidP="00855214">
      <w:pPr>
        <w:spacing w:line="276" w:lineRule="auto"/>
        <w:ind w:firstLine="708"/>
        <w:jc w:val="both"/>
      </w:pPr>
      <w:r w:rsidRPr="00A92CA6">
        <w:t>Муниципальное казённое учреждение культуры «Бодайбинский городской краеведческий музей им. В.Ф. Верещагина» является структурной единицей Управления культуры администрации муниципального образования г. Бодайбо и района и представлен  одним юридическим лицом. Штат сотрудников музея насчитывает 15 человек, их них 6 человек – специалисты, занимающиеся музейной деятельностью, 4 человека -вспомогательный персонал, 5 человек -технический персонал.</w:t>
      </w:r>
    </w:p>
    <w:p w:rsidR="00E60BEE" w:rsidRPr="00A92CA6" w:rsidRDefault="00E60BEE" w:rsidP="00855214">
      <w:pPr>
        <w:spacing w:line="276" w:lineRule="auto"/>
        <w:ind w:firstLine="708"/>
        <w:jc w:val="both"/>
      </w:pPr>
    </w:p>
    <w:p w:rsidR="00E60BEE" w:rsidRPr="00A92CA6" w:rsidRDefault="00180936" w:rsidP="00855214">
      <w:pPr>
        <w:spacing w:line="276" w:lineRule="auto"/>
        <w:jc w:val="center"/>
        <w:rPr>
          <w:rFonts w:eastAsia="Times New Roman"/>
          <w:i/>
          <w:lang w:eastAsia="ru-RU"/>
        </w:rPr>
      </w:pPr>
      <w:r w:rsidRPr="00A92CA6">
        <w:rPr>
          <w:rFonts w:eastAsia="Times New Roman"/>
          <w:i/>
          <w:lang w:eastAsia="ru-RU"/>
        </w:rPr>
        <w:t>Фондовая работа</w:t>
      </w:r>
    </w:p>
    <w:p w:rsidR="00813872" w:rsidRPr="00A92CA6" w:rsidRDefault="00180936" w:rsidP="00855214">
      <w:pPr>
        <w:spacing w:line="276" w:lineRule="auto"/>
        <w:ind w:firstLine="708"/>
        <w:jc w:val="both"/>
        <w:rPr>
          <w:rFonts w:eastAsia="Times New Roman"/>
          <w:lang w:eastAsia="ru-RU"/>
        </w:rPr>
      </w:pPr>
      <w:r w:rsidRPr="00A92CA6">
        <w:rPr>
          <w:rFonts w:eastAsia="Times New Roman"/>
          <w:lang w:eastAsia="ru-RU"/>
        </w:rPr>
        <w:t>Одной из важнейших задач в работе музея является выявление, собирание, обеспечение сохранности  музейных предметов и музейных коллекций.</w:t>
      </w:r>
      <w:r w:rsidR="00A90604" w:rsidRPr="00A92CA6">
        <w:rPr>
          <w:rFonts w:eastAsia="Times New Roman"/>
          <w:lang w:eastAsia="ru-RU"/>
        </w:rPr>
        <w:t xml:space="preserve"> </w:t>
      </w:r>
    </w:p>
    <w:p w:rsidR="00A90604" w:rsidRPr="00A92CA6" w:rsidRDefault="00813872" w:rsidP="00855214">
      <w:pPr>
        <w:spacing w:line="276" w:lineRule="auto"/>
        <w:ind w:firstLine="708"/>
        <w:jc w:val="both"/>
        <w:rPr>
          <w:rFonts w:eastAsia="Times New Roman"/>
          <w:lang w:eastAsia="ru-RU"/>
        </w:rPr>
      </w:pPr>
      <w:r w:rsidRPr="00A92CA6">
        <w:t>На комплектование му</w:t>
      </w:r>
      <w:r w:rsidR="00F31E7A" w:rsidRPr="00A92CA6">
        <w:t>зейных фондов на протяжении трёх</w:t>
      </w:r>
      <w:r w:rsidR="00530EFF" w:rsidRPr="00A92CA6">
        <w:t xml:space="preserve"> лет средства из бюджета не выделяются. Пополнение фондов происходит благодаря жителям </w:t>
      </w:r>
      <w:r w:rsidRPr="00A92CA6">
        <w:t>Бодайбинского района</w:t>
      </w:r>
      <w:r w:rsidR="00530EFF" w:rsidRPr="00A92CA6">
        <w:t>, которые</w:t>
      </w:r>
      <w:r w:rsidRPr="00A92CA6">
        <w:t xml:space="preserve"> безвозмездно </w:t>
      </w:r>
      <w:r w:rsidR="00530EFF" w:rsidRPr="00A92CA6">
        <w:t xml:space="preserve">передают </w:t>
      </w:r>
      <w:r w:rsidRPr="00A92CA6">
        <w:t>в фонд музея экспонаты</w:t>
      </w:r>
      <w:r w:rsidR="00530EFF" w:rsidRPr="00A92CA6">
        <w:t xml:space="preserve">. </w:t>
      </w:r>
      <w:r w:rsidRPr="00A92CA6">
        <w:rPr>
          <w:rFonts w:eastAsia="Times New Roman"/>
          <w:lang w:eastAsia="ru-RU"/>
        </w:rPr>
        <w:t xml:space="preserve"> </w:t>
      </w:r>
      <w:r w:rsidR="00F31E7A" w:rsidRPr="00A92CA6">
        <w:rPr>
          <w:rFonts w:eastAsia="Times New Roman"/>
          <w:lang w:eastAsia="ru-RU"/>
        </w:rPr>
        <w:t>Музейные фонды подлежат строгому государственному учёту.</w:t>
      </w:r>
      <w:r w:rsidR="00DB066B" w:rsidRPr="00A92CA6">
        <w:rPr>
          <w:rFonts w:eastAsia="Times New Roman"/>
          <w:lang w:eastAsia="ru-RU"/>
        </w:rPr>
        <w:t xml:space="preserve"> </w:t>
      </w:r>
      <w:r w:rsidR="006B2306" w:rsidRPr="00A92CA6">
        <w:rPr>
          <w:rFonts w:eastAsia="Times New Roman"/>
          <w:lang w:eastAsia="ru-RU"/>
        </w:rPr>
        <w:t>С 2018 года в соответствии с планом-графиком началась регистрация музейных предметов и музейных кол</w:t>
      </w:r>
      <w:r w:rsidR="00D555F2" w:rsidRPr="00A92CA6">
        <w:rPr>
          <w:rFonts w:eastAsia="Times New Roman"/>
          <w:lang w:eastAsia="ru-RU"/>
        </w:rPr>
        <w:t>лекций, находящихся в фондах Бодайбинского городского краеведческого музея, зарегистрированных в кни</w:t>
      </w:r>
      <w:r w:rsidR="00530EFF" w:rsidRPr="00A92CA6">
        <w:rPr>
          <w:rFonts w:eastAsia="Times New Roman"/>
          <w:lang w:eastAsia="ru-RU"/>
        </w:rPr>
        <w:t>гах поступлений основного фонда в Государственном каталоге Музейного фонда РФ</w:t>
      </w:r>
      <w:r w:rsidR="00705AB1" w:rsidRPr="00A92CA6">
        <w:rPr>
          <w:rFonts w:eastAsia="Times New Roman"/>
          <w:lang w:eastAsia="ru-RU"/>
        </w:rPr>
        <w:t xml:space="preserve"> (Госкаталог)</w:t>
      </w:r>
      <w:r w:rsidR="00530EFF" w:rsidRPr="00A92CA6">
        <w:rPr>
          <w:rFonts w:eastAsia="Times New Roman"/>
          <w:lang w:eastAsia="ru-RU"/>
        </w:rPr>
        <w:t>.  За три квартала текущего года  в Госкаталог внесены данные</w:t>
      </w:r>
      <w:r w:rsidR="00EE182A" w:rsidRPr="00A92CA6">
        <w:rPr>
          <w:rFonts w:eastAsia="Times New Roman"/>
          <w:lang w:eastAsia="ru-RU"/>
        </w:rPr>
        <w:t xml:space="preserve"> </w:t>
      </w:r>
      <w:r w:rsidR="00D555F2" w:rsidRPr="00A92CA6">
        <w:rPr>
          <w:rFonts w:eastAsia="Times New Roman"/>
          <w:lang w:eastAsia="ru-RU"/>
        </w:rPr>
        <w:t xml:space="preserve"> </w:t>
      </w:r>
      <w:r w:rsidR="00530EFF" w:rsidRPr="00A92CA6">
        <w:rPr>
          <w:rFonts w:eastAsia="Times New Roman"/>
          <w:lang w:eastAsia="ru-RU"/>
        </w:rPr>
        <w:t>о</w:t>
      </w:r>
      <w:r w:rsidR="00EE182A" w:rsidRPr="00A92CA6">
        <w:rPr>
          <w:rFonts w:eastAsia="Times New Roman"/>
          <w:lang w:eastAsia="ru-RU"/>
        </w:rPr>
        <w:t xml:space="preserve"> </w:t>
      </w:r>
      <w:r w:rsidR="00B44221" w:rsidRPr="00A92CA6">
        <w:rPr>
          <w:rFonts w:eastAsia="Times New Roman"/>
          <w:lang w:eastAsia="ru-RU"/>
        </w:rPr>
        <w:t xml:space="preserve"> 492 музейных предмета</w:t>
      </w:r>
      <w:r w:rsidR="00530EFF" w:rsidRPr="00A92CA6">
        <w:rPr>
          <w:rFonts w:eastAsia="Times New Roman"/>
          <w:lang w:eastAsia="ru-RU"/>
        </w:rPr>
        <w:t>х из имеющихся 6475</w:t>
      </w:r>
      <w:r w:rsidR="0095533B" w:rsidRPr="00A92CA6">
        <w:rPr>
          <w:rFonts w:eastAsia="Times New Roman"/>
          <w:lang w:eastAsia="ru-RU"/>
        </w:rPr>
        <w:t xml:space="preserve"> единиц</w:t>
      </w:r>
      <w:r w:rsidR="00D555F2" w:rsidRPr="00A92CA6">
        <w:rPr>
          <w:rFonts w:eastAsia="Times New Roman"/>
          <w:lang w:eastAsia="ru-RU"/>
        </w:rPr>
        <w:t xml:space="preserve">. </w:t>
      </w:r>
    </w:p>
    <w:p w:rsidR="00A90604" w:rsidRPr="00A92CA6" w:rsidRDefault="00A90604" w:rsidP="00855214">
      <w:pPr>
        <w:spacing w:line="276" w:lineRule="auto"/>
        <w:jc w:val="both"/>
        <w:rPr>
          <w:rFonts w:eastAsiaTheme="minorEastAsia"/>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094"/>
        <w:gridCol w:w="1076"/>
        <w:gridCol w:w="1076"/>
        <w:gridCol w:w="1013"/>
      </w:tblGrid>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Показатели</w:t>
            </w:r>
          </w:p>
        </w:tc>
        <w:tc>
          <w:tcPr>
            <w:tcW w:w="1094" w:type="dxa"/>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2015 год</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2016 год</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2017 год</w:t>
            </w:r>
          </w:p>
        </w:tc>
        <w:tc>
          <w:tcPr>
            <w:tcW w:w="1013" w:type="dxa"/>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2018 год</w:t>
            </w:r>
            <w:r w:rsidR="00705AB1" w:rsidRPr="00A92CA6">
              <w:rPr>
                <w:rFonts w:eastAsia="Times New Roman"/>
                <w:lang w:eastAsia="ru-RU"/>
              </w:rPr>
              <w:t xml:space="preserve"> (за 9 мес. года)</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b/>
                <w:lang w:eastAsia="ru-RU"/>
              </w:rPr>
            </w:pPr>
            <w:r w:rsidRPr="00A92CA6">
              <w:rPr>
                <w:rFonts w:eastAsia="Times New Roman"/>
                <w:lang w:eastAsia="ru-RU"/>
              </w:rPr>
              <w:t xml:space="preserve">Количество предметов основного фонда (ОФ) </w:t>
            </w:r>
            <w:r w:rsidRPr="00A92CA6">
              <w:rPr>
                <w:rFonts w:eastAsia="Times New Roman"/>
                <w:lang w:eastAsia="ru-RU"/>
              </w:rPr>
              <w:lastRenderedPageBreak/>
              <w:t>(ед.)</w:t>
            </w:r>
          </w:p>
        </w:tc>
        <w:tc>
          <w:tcPr>
            <w:tcW w:w="1094" w:type="dxa"/>
          </w:tcPr>
          <w:p w:rsidR="00EE182A" w:rsidRPr="00A92CA6" w:rsidRDefault="00EE182A" w:rsidP="00855214">
            <w:pPr>
              <w:spacing w:line="276" w:lineRule="auto"/>
              <w:jc w:val="both"/>
            </w:pPr>
            <w:r w:rsidRPr="00A92CA6">
              <w:lastRenderedPageBreak/>
              <w:t>6464</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6472</w:t>
            </w:r>
          </w:p>
          <w:p w:rsidR="00EE182A" w:rsidRPr="00A92CA6" w:rsidRDefault="00EE182A" w:rsidP="00855214">
            <w:pPr>
              <w:spacing w:line="276" w:lineRule="auto"/>
              <w:jc w:val="both"/>
              <w:rPr>
                <w:rFonts w:eastAsia="Times New Roman"/>
                <w:lang w:eastAsia="ru-RU"/>
              </w:rPr>
            </w:pP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lastRenderedPageBreak/>
              <w:t>6472</w:t>
            </w:r>
          </w:p>
        </w:tc>
        <w:tc>
          <w:tcPr>
            <w:tcW w:w="1013" w:type="dxa"/>
          </w:tcPr>
          <w:p w:rsidR="00EE182A" w:rsidRPr="00A92CA6" w:rsidRDefault="00397DAD" w:rsidP="00855214">
            <w:pPr>
              <w:spacing w:line="276" w:lineRule="auto"/>
              <w:jc w:val="both"/>
              <w:rPr>
                <w:rFonts w:eastAsia="Times New Roman"/>
                <w:lang w:eastAsia="ru-RU"/>
              </w:rPr>
            </w:pPr>
            <w:r w:rsidRPr="00A92CA6">
              <w:rPr>
                <w:rFonts w:eastAsia="Times New Roman"/>
                <w:lang w:eastAsia="ru-RU"/>
              </w:rPr>
              <w:t>6475</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lastRenderedPageBreak/>
              <w:t>Количество предметов научно- вспомогательного фонда (НВФ) (ед.)</w:t>
            </w:r>
          </w:p>
        </w:tc>
        <w:tc>
          <w:tcPr>
            <w:tcW w:w="1094" w:type="dxa"/>
          </w:tcPr>
          <w:p w:rsidR="00EE182A" w:rsidRPr="00A92CA6" w:rsidRDefault="00EE182A" w:rsidP="00855214">
            <w:pPr>
              <w:spacing w:line="276" w:lineRule="auto"/>
              <w:jc w:val="both"/>
            </w:pPr>
            <w:r w:rsidRPr="00A92CA6">
              <w:t>8387</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8458</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8538</w:t>
            </w:r>
          </w:p>
        </w:tc>
        <w:tc>
          <w:tcPr>
            <w:tcW w:w="1013" w:type="dxa"/>
          </w:tcPr>
          <w:p w:rsidR="00EE182A" w:rsidRPr="00A92CA6" w:rsidRDefault="00397DAD" w:rsidP="00855214">
            <w:pPr>
              <w:spacing w:line="276" w:lineRule="auto"/>
              <w:jc w:val="both"/>
              <w:rPr>
                <w:rFonts w:eastAsia="Times New Roman"/>
                <w:lang w:eastAsia="ru-RU"/>
              </w:rPr>
            </w:pPr>
            <w:r w:rsidRPr="00A92CA6">
              <w:rPr>
                <w:rFonts w:eastAsia="Times New Roman"/>
                <w:lang w:eastAsia="ru-RU"/>
              </w:rPr>
              <w:t>8599</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Количество предметов ОФ экспонировавшихся в отчётном году (ед.)</w:t>
            </w:r>
          </w:p>
        </w:tc>
        <w:tc>
          <w:tcPr>
            <w:tcW w:w="1094" w:type="dxa"/>
          </w:tcPr>
          <w:p w:rsidR="00EE182A" w:rsidRPr="00A92CA6" w:rsidRDefault="00EE182A" w:rsidP="00855214">
            <w:pPr>
              <w:spacing w:line="276" w:lineRule="auto"/>
              <w:jc w:val="both"/>
            </w:pPr>
            <w:r w:rsidRPr="00A92CA6">
              <w:t>596</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593</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579</w:t>
            </w:r>
          </w:p>
        </w:tc>
        <w:tc>
          <w:tcPr>
            <w:tcW w:w="1013" w:type="dxa"/>
          </w:tcPr>
          <w:p w:rsidR="00EE182A" w:rsidRPr="00A92CA6" w:rsidRDefault="00397DAD" w:rsidP="00855214">
            <w:pPr>
              <w:spacing w:line="276" w:lineRule="auto"/>
              <w:jc w:val="both"/>
              <w:rPr>
                <w:rFonts w:eastAsia="Times New Roman"/>
                <w:lang w:eastAsia="ru-RU"/>
              </w:rPr>
            </w:pPr>
            <w:r w:rsidRPr="00A92CA6">
              <w:rPr>
                <w:rFonts w:eastAsia="Times New Roman"/>
                <w:lang w:eastAsia="ru-RU"/>
              </w:rPr>
              <w:t>631</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Количество предметов НВФ экспонировавшихся в отчётном году (ед.)</w:t>
            </w:r>
          </w:p>
        </w:tc>
        <w:tc>
          <w:tcPr>
            <w:tcW w:w="1094" w:type="dxa"/>
          </w:tcPr>
          <w:p w:rsidR="00EE182A" w:rsidRPr="00A92CA6" w:rsidRDefault="00EE182A" w:rsidP="00855214">
            <w:pPr>
              <w:spacing w:line="276" w:lineRule="auto"/>
              <w:jc w:val="both"/>
            </w:pPr>
            <w:r w:rsidRPr="00A92CA6">
              <w:t xml:space="preserve">1333 </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1412</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871</w:t>
            </w:r>
          </w:p>
        </w:tc>
        <w:tc>
          <w:tcPr>
            <w:tcW w:w="1013" w:type="dxa"/>
          </w:tcPr>
          <w:p w:rsidR="00EE182A" w:rsidRPr="00A92CA6" w:rsidRDefault="00E45B7C" w:rsidP="00855214">
            <w:pPr>
              <w:spacing w:line="276" w:lineRule="auto"/>
              <w:jc w:val="both"/>
              <w:rPr>
                <w:rFonts w:eastAsia="Times New Roman"/>
                <w:lang w:eastAsia="ru-RU"/>
              </w:rPr>
            </w:pPr>
            <w:r w:rsidRPr="00A92CA6">
              <w:rPr>
                <w:rFonts w:eastAsia="Times New Roman"/>
                <w:lang w:eastAsia="ru-RU"/>
              </w:rPr>
              <w:t>840</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 xml:space="preserve">Доля экспонирования музейных предметов ОФ и НВФ к объёму совокупного музейного </w:t>
            </w:r>
            <w:r w:rsidR="00705AB1" w:rsidRPr="00A92CA6">
              <w:rPr>
                <w:rFonts w:eastAsia="Times New Roman"/>
                <w:lang w:eastAsia="ru-RU"/>
              </w:rPr>
              <w:t>собрания (</w:t>
            </w:r>
            <w:r w:rsidRPr="00A92CA6">
              <w:rPr>
                <w:rFonts w:eastAsia="Times New Roman"/>
                <w:lang w:eastAsia="ru-RU"/>
              </w:rPr>
              <w:t>%)</w:t>
            </w:r>
          </w:p>
        </w:tc>
        <w:tc>
          <w:tcPr>
            <w:tcW w:w="1094" w:type="dxa"/>
          </w:tcPr>
          <w:p w:rsidR="00EE182A" w:rsidRPr="00A92CA6" w:rsidRDefault="0095533B" w:rsidP="00855214">
            <w:pPr>
              <w:spacing w:line="276" w:lineRule="auto"/>
              <w:jc w:val="both"/>
            </w:pPr>
            <w:r w:rsidRPr="00A92CA6">
              <w:t>12.9</w:t>
            </w:r>
            <w:r w:rsidR="00EE182A" w:rsidRPr="00A92CA6">
              <w:t>%</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13,4 %</w:t>
            </w:r>
          </w:p>
        </w:tc>
        <w:tc>
          <w:tcPr>
            <w:tcW w:w="1076" w:type="dxa"/>
            <w:shd w:val="clear" w:color="auto" w:fill="auto"/>
          </w:tcPr>
          <w:p w:rsidR="00EE182A" w:rsidRPr="00A92CA6" w:rsidRDefault="0095533B" w:rsidP="00855214">
            <w:pPr>
              <w:spacing w:line="276" w:lineRule="auto"/>
              <w:jc w:val="both"/>
              <w:rPr>
                <w:rFonts w:eastAsia="Times New Roman"/>
                <w:lang w:eastAsia="ru-RU"/>
              </w:rPr>
            </w:pPr>
            <w:r w:rsidRPr="00A92CA6">
              <w:rPr>
                <w:rFonts w:eastAsia="Times New Roman"/>
                <w:lang w:eastAsia="ru-RU"/>
              </w:rPr>
              <w:t>9,6</w:t>
            </w:r>
            <w:r w:rsidR="00EE182A" w:rsidRPr="00A92CA6">
              <w:rPr>
                <w:rFonts w:eastAsia="Times New Roman"/>
                <w:lang w:eastAsia="ru-RU"/>
              </w:rPr>
              <w:t>%</w:t>
            </w:r>
          </w:p>
        </w:tc>
        <w:tc>
          <w:tcPr>
            <w:tcW w:w="1013" w:type="dxa"/>
          </w:tcPr>
          <w:p w:rsidR="00EE182A" w:rsidRPr="00A92CA6" w:rsidRDefault="0095533B" w:rsidP="00855214">
            <w:pPr>
              <w:spacing w:line="276" w:lineRule="auto"/>
              <w:jc w:val="both"/>
              <w:rPr>
                <w:rFonts w:eastAsia="Times New Roman"/>
                <w:lang w:eastAsia="ru-RU"/>
              </w:rPr>
            </w:pPr>
            <w:r w:rsidRPr="00A92CA6">
              <w:rPr>
                <w:rFonts w:eastAsia="Times New Roman"/>
                <w:lang w:eastAsia="ru-RU"/>
              </w:rPr>
              <w:t>9,7%</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Отреставрировано музейных предметов (ед.)</w:t>
            </w:r>
          </w:p>
        </w:tc>
        <w:tc>
          <w:tcPr>
            <w:tcW w:w="1094" w:type="dxa"/>
          </w:tcPr>
          <w:p w:rsidR="00EE182A" w:rsidRPr="00A92CA6" w:rsidRDefault="00EE182A" w:rsidP="00855214">
            <w:pPr>
              <w:spacing w:line="276" w:lineRule="auto"/>
              <w:jc w:val="both"/>
            </w:pPr>
            <w:r w:rsidRPr="00A92CA6">
              <w:t>0</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22</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0</w:t>
            </w:r>
          </w:p>
        </w:tc>
        <w:tc>
          <w:tcPr>
            <w:tcW w:w="1013" w:type="dxa"/>
          </w:tcPr>
          <w:p w:rsidR="00EE182A" w:rsidRPr="00A92CA6" w:rsidRDefault="000A279E" w:rsidP="00855214">
            <w:pPr>
              <w:spacing w:line="276" w:lineRule="auto"/>
              <w:jc w:val="both"/>
              <w:rPr>
                <w:rFonts w:eastAsia="Times New Roman"/>
                <w:lang w:eastAsia="ru-RU"/>
              </w:rPr>
            </w:pPr>
            <w:r w:rsidRPr="00A92CA6">
              <w:rPr>
                <w:rFonts w:eastAsia="Times New Roman"/>
                <w:lang w:eastAsia="ru-RU"/>
              </w:rPr>
              <w:t>0</w:t>
            </w:r>
          </w:p>
        </w:tc>
      </w:tr>
      <w:tr w:rsidR="00EE182A" w:rsidRPr="00A92CA6" w:rsidTr="00EE182A">
        <w:tc>
          <w:tcPr>
            <w:tcW w:w="5312"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Музейные предметы, требующие реставрации (ед.)</w:t>
            </w:r>
          </w:p>
        </w:tc>
        <w:tc>
          <w:tcPr>
            <w:tcW w:w="1094" w:type="dxa"/>
          </w:tcPr>
          <w:p w:rsidR="00EE182A" w:rsidRPr="00A92CA6" w:rsidRDefault="00EE182A" w:rsidP="00855214">
            <w:pPr>
              <w:spacing w:line="276" w:lineRule="auto"/>
              <w:jc w:val="both"/>
            </w:pPr>
            <w:r w:rsidRPr="00A92CA6">
              <w:t>100</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78</w:t>
            </w:r>
          </w:p>
        </w:tc>
        <w:tc>
          <w:tcPr>
            <w:tcW w:w="1076" w:type="dxa"/>
            <w:shd w:val="clear" w:color="auto" w:fill="auto"/>
          </w:tcPr>
          <w:p w:rsidR="00EE182A" w:rsidRPr="00A92CA6" w:rsidRDefault="00EE182A" w:rsidP="00855214">
            <w:pPr>
              <w:spacing w:line="276" w:lineRule="auto"/>
              <w:jc w:val="both"/>
              <w:rPr>
                <w:rFonts w:eastAsia="Times New Roman"/>
                <w:lang w:eastAsia="ru-RU"/>
              </w:rPr>
            </w:pPr>
            <w:r w:rsidRPr="00A92CA6">
              <w:rPr>
                <w:rFonts w:eastAsia="Times New Roman"/>
                <w:lang w:eastAsia="ru-RU"/>
              </w:rPr>
              <w:t>78</w:t>
            </w:r>
          </w:p>
        </w:tc>
        <w:tc>
          <w:tcPr>
            <w:tcW w:w="1013" w:type="dxa"/>
          </w:tcPr>
          <w:p w:rsidR="00EE182A" w:rsidRPr="00A92CA6" w:rsidRDefault="000A279E" w:rsidP="00855214">
            <w:pPr>
              <w:spacing w:line="276" w:lineRule="auto"/>
              <w:jc w:val="both"/>
              <w:rPr>
                <w:rFonts w:eastAsia="Times New Roman"/>
                <w:lang w:eastAsia="ru-RU"/>
              </w:rPr>
            </w:pPr>
            <w:r w:rsidRPr="00A92CA6">
              <w:rPr>
                <w:rFonts w:eastAsia="Times New Roman"/>
                <w:lang w:eastAsia="ru-RU"/>
              </w:rPr>
              <w:t>78</w:t>
            </w:r>
          </w:p>
        </w:tc>
      </w:tr>
    </w:tbl>
    <w:p w:rsidR="00A90604" w:rsidRPr="00A92CA6" w:rsidRDefault="00EE182A" w:rsidP="00855214">
      <w:pPr>
        <w:spacing w:line="276" w:lineRule="auto"/>
        <w:ind w:firstLine="708"/>
        <w:jc w:val="both"/>
        <w:rPr>
          <w:rFonts w:eastAsia="Times New Roman"/>
          <w:lang w:eastAsia="ru-RU"/>
        </w:rPr>
      </w:pPr>
      <w:r w:rsidRPr="00A92CA6">
        <w:rPr>
          <w:rFonts w:eastAsia="Times New Roman"/>
          <w:lang w:eastAsia="ru-RU"/>
        </w:rPr>
        <w:t>Ежедневно сотрудники фондового отдела музея осуществляют работу по сверке экспонатов, фотофиксации, составлению коллекционных описей, топоописей, регистрации новых поступлений, подборке архивных материалов и экспонатов для мероприятий и выставок.</w:t>
      </w:r>
    </w:p>
    <w:p w:rsidR="00C40B10" w:rsidRPr="00A92CA6" w:rsidRDefault="0099342F" w:rsidP="00855214">
      <w:pPr>
        <w:spacing w:line="276" w:lineRule="auto"/>
        <w:ind w:firstLine="708"/>
        <w:jc w:val="both"/>
        <w:rPr>
          <w:rFonts w:eastAsia="Times New Roman"/>
          <w:lang w:eastAsia="ru-RU"/>
        </w:rPr>
      </w:pPr>
      <w:r w:rsidRPr="00A92CA6">
        <w:rPr>
          <w:rFonts w:eastAsia="Times New Roman"/>
          <w:lang w:eastAsia="ru-RU"/>
        </w:rPr>
        <w:t>Проблемным вопросом остаётся отсутствие квалифицированных специалистов-реставраторов музейных ценносте</w:t>
      </w:r>
      <w:r w:rsidR="00A965A1" w:rsidRPr="00A92CA6">
        <w:rPr>
          <w:rFonts w:eastAsia="Times New Roman"/>
          <w:lang w:eastAsia="ru-RU"/>
        </w:rPr>
        <w:t>й.</w:t>
      </w:r>
      <w:r w:rsidRPr="00A92CA6">
        <w:rPr>
          <w:rFonts w:eastAsia="Times New Roman"/>
          <w:lang w:eastAsia="ru-RU"/>
        </w:rPr>
        <w:t xml:space="preserve"> </w:t>
      </w:r>
      <w:r w:rsidR="002B5275" w:rsidRPr="00A92CA6">
        <w:rPr>
          <w:rFonts w:eastAsia="Times New Roman"/>
          <w:lang w:eastAsia="ru-RU"/>
        </w:rPr>
        <w:t>Недостаточно пл</w:t>
      </w:r>
      <w:r w:rsidR="00A965A1" w:rsidRPr="00A92CA6">
        <w:rPr>
          <w:rFonts w:eastAsia="Times New Roman"/>
          <w:lang w:eastAsia="ru-RU"/>
        </w:rPr>
        <w:t xml:space="preserve">ощадей </w:t>
      </w:r>
      <w:r w:rsidR="006A4806" w:rsidRPr="00A92CA6">
        <w:rPr>
          <w:rFonts w:eastAsia="Times New Roman"/>
          <w:lang w:eastAsia="ru-RU"/>
        </w:rPr>
        <w:t>фондохранилища для обеспечения дофондового хранения</w:t>
      </w:r>
      <w:r w:rsidR="002B5275" w:rsidRPr="00A92CA6">
        <w:rPr>
          <w:rFonts w:eastAsia="Times New Roman"/>
          <w:lang w:eastAsia="ru-RU"/>
        </w:rPr>
        <w:t xml:space="preserve"> поступивших предметов.</w:t>
      </w:r>
      <w:r w:rsidR="00C40B10" w:rsidRPr="00A92CA6">
        <w:rPr>
          <w:rFonts w:eastAsia="Times New Roman"/>
          <w:lang w:eastAsia="ru-RU"/>
        </w:rPr>
        <w:t xml:space="preserve"> </w:t>
      </w:r>
    </w:p>
    <w:p w:rsidR="0095533B" w:rsidRPr="00A92CA6" w:rsidRDefault="0095533B" w:rsidP="00855214">
      <w:pPr>
        <w:spacing w:line="276" w:lineRule="auto"/>
        <w:rPr>
          <w:rFonts w:eastAsia="Times New Roman"/>
          <w:lang w:eastAsia="ru-RU"/>
        </w:rPr>
      </w:pPr>
    </w:p>
    <w:p w:rsidR="006A4806" w:rsidRPr="00A92CA6" w:rsidRDefault="006A4806" w:rsidP="00855214">
      <w:pPr>
        <w:spacing w:line="276" w:lineRule="auto"/>
        <w:jc w:val="center"/>
        <w:rPr>
          <w:rFonts w:eastAsia="Times New Roman"/>
          <w:i/>
          <w:lang w:eastAsia="ru-RU"/>
        </w:rPr>
      </w:pPr>
      <w:r w:rsidRPr="00A92CA6">
        <w:rPr>
          <w:rFonts w:eastAsia="Times New Roman"/>
          <w:i/>
          <w:lang w:eastAsia="ru-RU"/>
        </w:rPr>
        <w:t>Экспозиционно-выставочная работа</w:t>
      </w:r>
    </w:p>
    <w:p w:rsidR="0095533B" w:rsidRPr="00A92CA6" w:rsidRDefault="006A4806" w:rsidP="00855214">
      <w:pPr>
        <w:pStyle w:val="a3"/>
        <w:spacing w:line="276" w:lineRule="auto"/>
        <w:ind w:firstLine="708"/>
        <w:jc w:val="both"/>
      </w:pPr>
      <w:r w:rsidRPr="00A92CA6">
        <w:t xml:space="preserve">В течении 38 лет краеведческий музей принимает посетителей в своих стенах, где оживает история сурового таёжного края, чья судьба связана с его природным богатством-золотом. Экспозиция </w:t>
      </w:r>
      <w:r w:rsidR="00C40B10" w:rsidRPr="00A92CA6">
        <w:t>музея представлена  в шести залах и рассчитана как для самостоятельного просмотра, так и для экскурсионного обслуживания. В пяти залах музея расположена постоянная экспозиция «Бодайбинский район: Вехи истории». Основное место в ней занимает история начального периода освоения Бодайбинского района, представленная подлинными экспонатами, документами, диарамами</w:t>
      </w:r>
      <w:r w:rsidR="0095533B" w:rsidRPr="00A92CA6">
        <w:t>.</w:t>
      </w:r>
    </w:p>
    <w:p w:rsidR="00D5658C" w:rsidRPr="00A92CA6" w:rsidRDefault="00C40B10" w:rsidP="00855214">
      <w:pPr>
        <w:pStyle w:val="a3"/>
        <w:spacing w:line="276" w:lineRule="auto"/>
        <w:jc w:val="both"/>
      </w:pPr>
      <w:r w:rsidRPr="00A92CA6">
        <w:t xml:space="preserve"> </w:t>
      </w:r>
      <w:r w:rsidR="0095533B" w:rsidRPr="00A92CA6">
        <w:t xml:space="preserve">      </w:t>
      </w:r>
      <w:r w:rsidR="0039186D" w:rsidRPr="00A92CA6">
        <w:t>Сотрудники  музея уделяют большое внимание идейному содержанию экспозиционного</w:t>
      </w:r>
      <w:r w:rsidR="0095533B" w:rsidRPr="00A92CA6">
        <w:t xml:space="preserve"> материала. </w:t>
      </w:r>
      <w:r w:rsidR="0039186D" w:rsidRPr="00A92CA6">
        <w:t xml:space="preserve"> </w:t>
      </w:r>
      <w:r w:rsidR="00A965A1" w:rsidRPr="00A92CA6">
        <w:t xml:space="preserve">Значимые события, круглые даты, календарные праздники определяют основную направленность экспозиционно-выставочной работы музея.  </w:t>
      </w:r>
      <w:r w:rsidR="00B44221" w:rsidRPr="00A92CA6">
        <w:t xml:space="preserve">Совместно </w:t>
      </w:r>
      <w:r w:rsidR="00705AB1" w:rsidRPr="00A92CA6">
        <w:t>с учреждениям</w:t>
      </w:r>
      <w:r w:rsidR="00085044" w:rsidRPr="00A92CA6">
        <w:t xml:space="preserve"> и предприятиям го</w:t>
      </w:r>
      <w:r w:rsidR="00B44221" w:rsidRPr="00A92CA6">
        <w:t>рода были организованы выставки, такие как:</w:t>
      </w:r>
    </w:p>
    <w:p w:rsidR="00D5658C" w:rsidRPr="00A92CA6" w:rsidRDefault="00D5658C" w:rsidP="00855214">
      <w:pPr>
        <w:spacing w:line="276" w:lineRule="auto"/>
        <w:ind w:firstLine="708"/>
        <w:jc w:val="both"/>
        <w:rPr>
          <w:rFonts w:eastAsia="Times New Roman"/>
          <w:lang w:eastAsia="ru-RU"/>
        </w:rPr>
      </w:pPr>
      <w:r w:rsidRPr="00A92CA6">
        <w:rPr>
          <w:rFonts w:eastAsia="Times New Roman"/>
          <w:lang w:eastAsia="ru-RU"/>
        </w:rPr>
        <w:t>-</w:t>
      </w:r>
      <w:r w:rsidR="00D47D23" w:rsidRPr="00A92CA6">
        <w:rPr>
          <w:rFonts w:eastAsia="Times New Roman"/>
          <w:lang w:eastAsia="ru-RU"/>
        </w:rPr>
        <w:t xml:space="preserve"> </w:t>
      </w:r>
      <w:r w:rsidR="00B44221" w:rsidRPr="00A92CA6">
        <w:rPr>
          <w:rFonts w:eastAsia="Times New Roman"/>
          <w:lang w:eastAsia="ru-RU"/>
        </w:rPr>
        <w:t xml:space="preserve"> </w:t>
      </w:r>
      <w:r w:rsidRPr="00A92CA6">
        <w:rPr>
          <w:rFonts w:eastAsia="Times New Roman"/>
          <w:lang w:eastAsia="ru-RU"/>
        </w:rPr>
        <w:t>ЗАО «ЛенРЭМ» 120 лет;</w:t>
      </w:r>
    </w:p>
    <w:p w:rsidR="00D5658C" w:rsidRPr="00A92CA6" w:rsidRDefault="00D5658C" w:rsidP="00855214">
      <w:pPr>
        <w:spacing w:line="276" w:lineRule="auto"/>
        <w:ind w:firstLine="708"/>
        <w:jc w:val="both"/>
        <w:rPr>
          <w:rFonts w:eastAsia="Times New Roman"/>
          <w:lang w:eastAsia="ru-RU"/>
        </w:rPr>
      </w:pPr>
      <w:r w:rsidRPr="00A92CA6">
        <w:rPr>
          <w:rFonts w:eastAsia="Times New Roman"/>
          <w:lang w:eastAsia="ru-RU"/>
        </w:rPr>
        <w:t>- «И невозможное –</w:t>
      </w:r>
      <w:r w:rsidR="00C261E7" w:rsidRPr="00A92CA6">
        <w:rPr>
          <w:rFonts w:eastAsia="Times New Roman"/>
          <w:lang w:eastAsia="ru-RU"/>
        </w:rPr>
        <w:t xml:space="preserve"> </w:t>
      </w:r>
      <w:r w:rsidRPr="00A92CA6">
        <w:rPr>
          <w:rFonts w:eastAsia="Times New Roman"/>
          <w:lang w:eastAsia="ru-RU"/>
        </w:rPr>
        <w:t>возможно»;</w:t>
      </w:r>
    </w:p>
    <w:p w:rsidR="00D5658C" w:rsidRPr="00A92CA6" w:rsidRDefault="00D5658C" w:rsidP="00855214">
      <w:pPr>
        <w:spacing w:line="276" w:lineRule="auto"/>
        <w:ind w:firstLine="708"/>
        <w:jc w:val="both"/>
      </w:pPr>
      <w:r w:rsidRPr="00A92CA6">
        <w:rPr>
          <w:rFonts w:eastAsia="Times New Roman"/>
          <w:lang w:eastAsia="ru-RU"/>
        </w:rPr>
        <w:t xml:space="preserve">- </w:t>
      </w:r>
      <w:r w:rsidRPr="00A92CA6">
        <w:t>«140 лет  храму «Рождества христова»;</w:t>
      </w:r>
    </w:p>
    <w:p w:rsidR="00D5658C" w:rsidRPr="00A92CA6" w:rsidRDefault="00D5658C" w:rsidP="00855214">
      <w:pPr>
        <w:spacing w:line="276" w:lineRule="auto"/>
        <w:ind w:firstLine="708"/>
        <w:jc w:val="both"/>
      </w:pPr>
      <w:r w:rsidRPr="00A92CA6">
        <w:t>- «Я бы жизнь свою, как кинопленку прокрутил намного лет назад…»;</w:t>
      </w:r>
    </w:p>
    <w:p w:rsidR="00D5658C" w:rsidRPr="00A92CA6" w:rsidRDefault="00D5658C" w:rsidP="00855214">
      <w:pPr>
        <w:spacing w:line="276" w:lineRule="auto"/>
        <w:ind w:firstLine="708"/>
        <w:jc w:val="both"/>
      </w:pPr>
      <w:r w:rsidRPr="00A92CA6">
        <w:t>- «Юбилейные рекорды», к 95 – летию образования  ОАО</w:t>
      </w:r>
      <w:r w:rsidR="00C261E7" w:rsidRPr="00A92CA6">
        <w:t xml:space="preserve"> </w:t>
      </w:r>
      <w:r w:rsidRPr="00A92CA6">
        <w:t>«Лензолото»;</w:t>
      </w:r>
    </w:p>
    <w:p w:rsidR="00D5658C" w:rsidRPr="00A92CA6" w:rsidRDefault="00D5658C" w:rsidP="00855214">
      <w:pPr>
        <w:spacing w:line="276" w:lineRule="auto"/>
        <w:ind w:firstLine="708"/>
        <w:jc w:val="both"/>
        <w:rPr>
          <w:iCs/>
        </w:rPr>
      </w:pPr>
      <w:r w:rsidRPr="00A92CA6">
        <w:t xml:space="preserve">- </w:t>
      </w:r>
      <w:r w:rsidRPr="00A92CA6">
        <w:rPr>
          <w:iCs/>
        </w:rPr>
        <w:t>«Их имена в истории «Лензолото»;</w:t>
      </w:r>
    </w:p>
    <w:p w:rsidR="00D5658C" w:rsidRPr="00A92CA6" w:rsidRDefault="00D5658C" w:rsidP="00855214">
      <w:pPr>
        <w:spacing w:line="276" w:lineRule="auto"/>
        <w:ind w:firstLine="708"/>
        <w:jc w:val="both"/>
      </w:pPr>
      <w:r w:rsidRPr="00A92CA6">
        <w:rPr>
          <w:rFonts w:eastAsia="Times New Roman"/>
          <w:lang w:eastAsia="ru-RU"/>
        </w:rPr>
        <w:t xml:space="preserve">- </w:t>
      </w:r>
      <w:r w:rsidRPr="00A92CA6">
        <w:t>«Время не властно над подвигом»;</w:t>
      </w:r>
    </w:p>
    <w:p w:rsidR="00D5658C" w:rsidRPr="00A92CA6" w:rsidRDefault="00D47D23" w:rsidP="00855214">
      <w:pPr>
        <w:spacing w:line="276" w:lineRule="auto"/>
        <w:ind w:firstLine="708"/>
        <w:jc w:val="both"/>
      </w:pPr>
      <w:r w:rsidRPr="00A92CA6">
        <w:rPr>
          <w:rFonts w:eastAsia="Times New Roman"/>
          <w:lang w:eastAsia="ru-RU"/>
        </w:rPr>
        <w:t xml:space="preserve">- </w:t>
      </w:r>
      <w:r w:rsidRPr="00A92CA6">
        <w:t>«Экология и Современность»;</w:t>
      </w:r>
    </w:p>
    <w:p w:rsidR="00D47D23" w:rsidRPr="00A92CA6" w:rsidRDefault="00D47D23" w:rsidP="00855214">
      <w:pPr>
        <w:spacing w:line="276" w:lineRule="auto"/>
        <w:ind w:firstLine="708"/>
        <w:jc w:val="both"/>
      </w:pPr>
      <w:r w:rsidRPr="00A92CA6">
        <w:t xml:space="preserve">- </w:t>
      </w:r>
      <w:r w:rsidR="0095533B" w:rsidRPr="00A92CA6">
        <w:t xml:space="preserve"> </w:t>
      </w:r>
      <w:r w:rsidRPr="00A92CA6">
        <w:t>ОАО «Полюс Вернинское-20 лет»</w:t>
      </w:r>
      <w:r w:rsidR="00591760" w:rsidRPr="00A92CA6">
        <w:t>;</w:t>
      </w:r>
    </w:p>
    <w:p w:rsidR="00591760" w:rsidRPr="00A92CA6" w:rsidRDefault="00591760" w:rsidP="00855214">
      <w:pPr>
        <w:spacing w:line="276" w:lineRule="auto"/>
        <w:ind w:firstLine="708"/>
        <w:jc w:val="both"/>
      </w:pPr>
      <w:r w:rsidRPr="00A92CA6">
        <w:t>- «Листая страницы твои в юбилей», к 50 – летию образования управления «Лензолотодортранс»;</w:t>
      </w:r>
    </w:p>
    <w:p w:rsidR="00591760" w:rsidRPr="00A92CA6" w:rsidRDefault="00591760" w:rsidP="00855214">
      <w:pPr>
        <w:spacing w:line="276" w:lineRule="auto"/>
        <w:ind w:firstLine="708"/>
        <w:jc w:val="both"/>
      </w:pPr>
      <w:r w:rsidRPr="00A92CA6">
        <w:rPr>
          <w:iCs/>
        </w:rPr>
        <w:t xml:space="preserve">- </w:t>
      </w:r>
      <w:r w:rsidRPr="00A92CA6">
        <w:rPr>
          <w:b/>
        </w:rPr>
        <w:t>«</w:t>
      </w:r>
      <w:r w:rsidRPr="00A92CA6">
        <w:t>Сияние Севера»</w:t>
      </w:r>
      <w:r w:rsidR="00820E9F" w:rsidRPr="00A92CA6">
        <w:t>;</w:t>
      </w:r>
    </w:p>
    <w:p w:rsidR="00820E9F" w:rsidRPr="00A92CA6" w:rsidRDefault="00820E9F" w:rsidP="00855214">
      <w:pPr>
        <w:spacing w:line="276" w:lineRule="auto"/>
        <w:ind w:firstLine="708"/>
        <w:jc w:val="both"/>
      </w:pPr>
      <w:r w:rsidRPr="00A92CA6">
        <w:t>- «Этот заповедный мир»</w:t>
      </w:r>
    </w:p>
    <w:p w:rsidR="006A4806" w:rsidRPr="00A92CA6" w:rsidRDefault="00957F89" w:rsidP="00855214">
      <w:pPr>
        <w:spacing w:line="276" w:lineRule="auto"/>
        <w:ind w:firstLine="708"/>
        <w:jc w:val="both"/>
        <w:rPr>
          <w:rFonts w:eastAsia="Times New Roman"/>
          <w:lang w:eastAsia="ru-RU"/>
        </w:rPr>
      </w:pPr>
      <w:r w:rsidRPr="00A92CA6">
        <w:rPr>
          <w:rFonts w:eastAsia="Times New Roman"/>
          <w:lang w:eastAsia="ru-RU"/>
        </w:rPr>
        <w:lastRenderedPageBreak/>
        <w:t>Одним из перспективных направлений в выставочной деятельности музея являются передвижные выставки</w:t>
      </w:r>
      <w:r w:rsidR="00820E9F" w:rsidRPr="00A92CA6">
        <w:rPr>
          <w:rFonts w:eastAsia="Times New Roman"/>
          <w:lang w:eastAsia="ru-RU"/>
        </w:rPr>
        <w:t>,  с которыми  сотрудники музея посещают различные организации города</w:t>
      </w:r>
      <w:r w:rsidR="00C261E7" w:rsidRPr="00A92CA6">
        <w:rPr>
          <w:rFonts w:eastAsia="Times New Roman"/>
          <w:lang w:eastAsia="ru-RU"/>
        </w:rPr>
        <w:t xml:space="preserve"> и предоставляют возможность большому количеству зрителей познакомиться с ценными историческими материалами и музейными экспонатами. </w:t>
      </w:r>
      <w:r w:rsidR="00820E9F" w:rsidRPr="00A92CA6">
        <w:rPr>
          <w:rFonts w:eastAsia="Times New Roman"/>
          <w:lang w:eastAsia="ru-RU"/>
        </w:rPr>
        <w:t xml:space="preserve">Такие </w:t>
      </w:r>
      <w:r w:rsidRPr="00A92CA6">
        <w:rPr>
          <w:rFonts w:eastAsia="Times New Roman"/>
          <w:lang w:eastAsia="ru-RU"/>
        </w:rPr>
        <w:t>выставки размещались</w:t>
      </w:r>
      <w:r w:rsidR="00820E9F" w:rsidRPr="00A92CA6">
        <w:rPr>
          <w:rFonts w:eastAsia="Times New Roman"/>
          <w:lang w:eastAsia="ru-RU"/>
        </w:rPr>
        <w:t xml:space="preserve"> в школах города,</w:t>
      </w:r>
      <w:r w:rsidR="00C261E7" w:rsidRPr="00A92CA6">
        <w:rPr>
          <w:rFonts w:eastAsia="Times New Roman"/>
          <w:lang w:eastAsia="ru-RU"/>
        </w:rPr>
        <w:t xml:space="preserve"> </w:t>
      </w:r>
      <w:r w:rsidR="00820E9F" w:rsidRPr="00A92CA6">
        <w:rPr>
          <w:rFonts w:eastAsia="Times New Roman"/>
          <w:lang w:eastAsia="ru-RU"/>
        </w:rPr>
        <w:t xml:space="preserve"> </w:t>
      </w:r>
      <w:r w:rsidRPr="00A92CA6">
        <w:rPr>
          <w:rFonts w:eastAsia="Times New Roman"/>
          <w:lang w:eastAsia="ru-RU"/>
        </w:rPr>
        <w:t xml:space="preserve">здании БГТ, </w:t>
      </w:r>
      <w:r w:rsidR="00820E9F" w:rsidRPr="00A92CA6">
        <w:rPr>
          <w:rFonts w:eastAsia="Times New Roman"/>
          <w:lang w:eastAsia="ru-RU"/>
        </w:rPr>
        <w:t>аэровокзала, детской музыкальной школы, кинотеатра «Витим»,</w:t>
      </w:r>
      <w:r w:rsidR="00C261E7" w:rsidRPr="00A92CA6">
        <w:rPr>
          <w:rFonts w:eastAsia="Times New Roman"/>
          <w:lang w:eastAsia="ru-RU"/>
        </w:rPr>
        <w:t xml:space="preserve"> на</w:t>
      </w:r>
      <w:r w:rsidR="00820E9F" w:rsidRPr="00A92CA6">
        <w:rPr>
          <w:rFonts w:eastAsia="Times New Roman"/>
          <w:lang w:eastAsia="ru-RU"/>
        </w:rPr>
        <w:t xml:space="preserve"> стадион</w:t>
      </w:r>
      <w:r w:rsidR="00C261E7" w:rsidRPr="00A92CA6">
        <w:rPr>
          <w:rFonts w:eastAsia="Times New Roman"/>
          <w:lang w:eastAsia="ru-RU"/>
        </w:rPr>
        <w:t>е</w:t>
      </w:r>
      <w:r w:rsidR="00820E9F" w:rsidRPr="00A92CA6">
        <w:rPr>
          <w:rFonts w:eastAsia="Times New Roman"/>
          <w:lang w:eastAsia="ru-RU"/>
        </w:rPr>
        <w:t xml:space="preserve"> «Труд»,</w:t>
      </w:r>
      <w:r w:rsidR="00C261E7" w:rsidRPr="00A92CA6">
        <w:rPr>
          <w:rFonts w:eastAsia="Times New Roman"/>
          <w:lang w:eastAsia="ru-RU"/>
        </w:rPr>
        <w:t xml:space="preserve"> в городском</w:t>
      </w:r>
      <w:r w:rsidR="00820E9F" w:rsidRPr="00A92CA6">
        <w:rPr>
          <w:rFonts w:eastAsia="Times New Roman"/>
          <w:lang w:eastAsia="ru-RU"/>
        </w:rPr>
        <w:t xml:space="preserve"> парк</w:t>
      </w:r>
      <w:r w:rsidR="00C261E7" w:rsidRPr="00A92CA6">
        <w:rPr>
          <w:rFonts w:eastAsia="Times New Roman"/>
          <w:lang w:eastAsia="ru-RU"/>
        </w:rPr>
        <w:t>е.</w:t>
      </w:r>
    </w:p>
    <w:p w:rsidR="0095533B" w:rsidRPr="00A92CA6" w:rsidRDefault="0095533B" w:rsidP="00855214">
      <w:pPr>
        <w:spacing w:line="276" w:lineRule="auto"/>
        <w:ind w:firstLine="708"/>
        <w:jc w:val="both"/>
        <w:rPr>
          <w:rFonts w:eastAsia="Times New Roman"/>
          <w:lang w:eastAsia="ru-RU"/>
        </w:rPr>
      </w:pPr>
      <w:r w:rsidRPr="00A92CA6">
        <w:rPr>
          <w:rFonts w:eastAsia="Times New Roman"/>
          <w:lang w:eastAsia="ru-RU"/>
        </w:rPr>
        <w:t xml:space="preserve">Сотрудники Бодайбинского краеведческого музея им. Верещагина совместно с работниками ООО «ЛенРЭМ» провели большую </w:t>
      </w:r>
      <w:r w:rsidR="00705AB1" w:rsidRPr="00A92CA6">
        <w:rPr>
          <w:rFonts w:eastAsia="Times New Roman"/>
          <w:lang w:eastAsia="ru-RU"/>
        </w:rPr>
        <w:t>работу по</w:t>
      </w:r>
      <w:r w:rsidRPr="00A92CA6">
        <w:rPr>
          <w:rFonts w:eastAsia="Times New Roman"/>
          <w:lang w:eastAsia="ru-RU"/>
        </w:rPr>
        <w:t xml:space="preserve"> написанию истории предприятия, подборе экспонатов и оформлению экспозиции музейной комнаты, открытой на территории ООО «</w:t>
      </w:r>
      <w:r w:rsidR="00705AB1" w:rsidRPr="00A92CA6">
        <w:rPr>
          <w:rFonts w:eastAsia="Times New Roman"/>
          <w:lang w:eastAsia="ru-RU"/>
        </w:rPr>
        <w:t>ЛенРЭМ» в</w:t>
      </w:r>
      <w:r w:rsidRPr="00A92CA6">
        <w:rPr>
          <w:rFonts w:eastAsia="Times New Roman"/>
          <w:lang w:eastAsia="ru-RU"/>
        </w:rPr>
        <w:t xml:space="preserve"> 2015 году.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1"/>
        <w:gridCol w:w="1400"/>
        <w:gridCol w:w="1518"/>
        <w:gridCol w:w="1392"/>
        <w:gridCol w:w="1252"/>
      </w:tblGrid>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Показатели</w:t>
            </w:r>
          </w:p>
        </w:tc>
        <w:tc>
          <w:tcPr>
            <w:tcW w:w="1400" w:type="dxa"/>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2015 год</w:t>
            </w:r>
          </w:p>
        </w:tc>
        <w:tc>
          <w:tcPr>
            <w:tcW w:w="1518"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2016 год</w:t>
            </w:r>
          </w:p>
        </w:tc>
        <w:tc>
          <w:tcPr>
            <w:tcW w:w="1392"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2017 год</w:t>
            </w:r>
          </w:p>
        </w:tc>
        <w:tc>
          <w:tcPr>
            <w:tcW w:w="1252" w:type="dxa"/>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2018 год</w:t>
            </w:r>
            <w:r w:rsidR="00705AB1" w:rsidRPr="00A92CA6">
              <w:rPr>
                <w:rFonts w:eastAsia="Times New Roman"/>
                <w:lang w:eastAsia="ru-RU"/>
              </w:rPr>
              <w:t xml:space="preserve"> (за 9 мес. года)</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Количество выставок (ед.)</w:t>
            </w:r>
          </w:p>
        </w:tc>
        <w:tc>
          <w:tcPr>
            <w:tcW w:w="1400" w:type="dxa"/>
          </w:tcPr>
          <w:p w:rsidR="0095533B" w:rsidRPr="00A92CA6" w:rsidRDefault="0095533B" w:rsidP="00855214">
            <w:pPr>
              <w:spacing w:line="276" w:lineRule="auto"/>
              <w:jc w:val="center"/>
            </w:pPr>
            <w:r w:rsidRPr="00A92CA6">
              <w:t xml:space="preserve">26 </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26</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29</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24</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Количество посетителей выставок (чел.)</w:t>
            </w:r>
          </w:p>
        </w:tc>
        <w:tc>
          <w:tcPr>
            <w:tcW w:w="1400" w:type="dxa"/>
          </w:tcPr>
          <w:p w:rsidR="0095533B" w:rsidRPr="00A92CA6" w:rsidRDefault="0095533B" w:rsidP="00855214">
            <w:pPr>
              <w:spacing w:line="276" w:lineRule="auto"/>
              <w:jc w:val="center"/>
            </w:pPr>
            <w:r w:rsidRPr="00A92CA6">
              <w:t>3789</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3801</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3612</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2890</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Количество новых выставок, открытых в отчетном году (ед.)</w:t>
            </w:r>
          </w:p>
        </w:tc>
        <w:tc>
          <w:tcPr>
            <w:tcW w:w="1400" w:type="dxa"/>
          </w:tcPr>
          <w:p w:rsidR="0095533B" w:rsidRPr="00A92CA6" w:rsidRDefault="0095533B" w:rsidP="00855214">
            <w:pPr>
              <w:spacing w:line="276" w:lineRule="auto"/>
              <w:jc w:val="center"/>
            </w:pPr>
            <w:r w:rsidRPr="00A92CA6">
              <w:t>3</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4</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6</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6</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в т. ч. из собственных фондов (ед.)</w:t>
            </w:r>
          </w:p>
        </w:tc>
        <w:tc>
          <w:tcPr>
            <w:tcW w:w="1400" w:type="dxa"/>
          </w:tcPr>
          <w:p w:rsidR="0095533B" w:rsidRPr="00A92CA6" w:rsidRDefault="0095533B" w:rsidP="00855214">
            <w:pPr>
              <w:spacing w:line="276" w:lineRule="auto"/>
              <w:jc w:val="center"/>
            </w:pPr>
            <w:r w:rsidRPr="00A92CA6">
              <w:t>11</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10</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6</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6</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в т. ч. из фондов других музеев (ед.)</w:t>
            </w:r>
          </w:p>
        </w:tc>
        <w:tc>
          <w:tcPr>
            <w:tcW w:w="1400"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0</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0</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0</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0</w:t>
            </w:r>
          </w:p>
        </w:tc>
      </w:tr>
    </w:tbl>
    <w:p w:rsidR="0095533B" w:rsidRPr="00A92CA6" w:rsidRDefault="0095533B" w:rsidP="00855214">
      <w:pPr>
        <w:spacing w:line="276" w:lineRule="auto"/>
        <w:ind w:firstLine="708"/>
        <w:jc w:val="both"/>
        <w:rPr>
          <w:rFonts w:eastAsia="Times New Roman"/>
          <w:lang w:eastAsia="ru-RU"/>
        </w:rPr>
      </w:pPr>
    </w:p>
    <w:p w:rsidR="00C261E7" w:rsidRPr="00A92CA6" w:rsidRDefault="00C261E7" w:rsidP="00855214">
      <w:pPr>
        <w:spacing w:line="276" w:lineRule="auto"/>
        <w:jc w:val="center"/>
        <w:rPr>
          <w:rFonts w:eastAsia="Times New Roman"/>
          <w:i/>
          <w:lang w:eastAsia="ru-RU"/>
        </w:rPr>
      </w:pPr>
      <w:r w:rsidRPr="00A92CA6">
        <w:rPr>
          <w:rFonts w:eastAsia="Times New Roman"/>
          <w:i/>
          <w:lang w:eastAsia="ru-RU"/>
        </w:rPr>
        <w:t>Просветительская деятельность</w:t>
      </w:r>
    </w:p>
    <w:p w:rsidR="00B01510" w:rsidRPr="00A92CA6" w:rsidRDefault="00B0696E" w:rsidP="00855214">
      <w:pPr>
        <w:spacing w:line="276" w:lineRule="auto"/>
        <w:ind w:firstLine="708"/>
        <w:jc w:val="both"/>
        <w:rPr>
          <w:rFonts w:eastAsia="Times New Roman"/>
          <w:lang w:eastAsia="ru-RU"/>
        </w:rPr>
      </w:pPr>
      <w:r w:rsidRPr="00A92CA6">
        <w:rPr>
          <w:rFonts w:eastAsia="Times New Roman"/>
          <w:lang w:eastAsia="ru-RU"/>
        </w:rPr>
        <w:t>Для того чтобы пробудить интерес к музею, приобщить к музейной культуре, используются различные формы деятельности. Это экскурсии: обзо</w:t>
      </w:r>
      <w:r w:rsidR="006B29C6" w:rsidRPr="00A92CA6">
        <w:rPr>
          <w:rFonts w:eastAsia="Times New Roman"/>
          <w:lang w:eastAsia="ru-RU"/>
        </w:rPr>
        <w:t>рные, тематические, выездные, м</w:t>
      </w:r>
      <w:r w:rsidRPr="00A92CA6">
        <w:rPr>
          <w:rFonts w:eastAsia="Times New Roman"/>
          <w:lang w:eastAsia="ru-RU"/>
        </w:rPr>
        <w:t>узейные занятия, игры,</w:t>
      </w:r>
      <w:r w:rsidR="006B29C6" w:rsidRPr="00A92CA6">
        <w:rPr>
          <w:rFonts w:eastAsia="Times New Roman"/>
          <w:lang w:eastAsia="ru-RU"/>
        </w:rPr>
        <w:t xml:space="preserve"> лекции, </w:t>
      </w:r>
      <w:r w:rsidRPr="00A92CA6">
        <w:rPr>
          <w:rFonts w:eastAsia="Times New Roman"/>
          <w:lang w:eastAsia="ru-RU"/>
        </w:rPr>
        <w:t>праздники и мероприятия.</w:t>
      </w:r>
      <w:r w:rsidR="006B29C6" w:rsidRPr="00A92CA6">
        <w:rPr>
          <w:rFonts w:eastAsia="Times New Roman"/>
          <w:lang w:eastAsia="ru-RU"/>
        </w:rPr>
        <w:t xml:space="preserve"> </w:t>
      </w:r>
    </w:p>
    <w:p w:rsidR="00B01510" w:rsidRPr="00A92CA6" w:rsidRDefault="00B01510" w:rsidP="00855214">
      <w:pPr>
        <w:spacing w:line="276" w:lineRule="auto"/>
        <w:ind w:firstLine="708"/>
        <w:jc w:val="both"/>
        <w:rPr>
          <w:rFonts w:eastAsia="Times New Roman"/>
          <w:lang w:eastAsia="ru-RU"/>
        </w:rPr>
      </w:pPr>
      <w:r w:rsidRPr="00A92CA6">
        <w:rPr>
          <w:rFonts w:eastAsia="Times New Roman"/>
          <w:lang w:eastAsia="ru-RU"/>
        </w:rPr>
        <w:t>Культуросозидающий потенциал краеведческих музеев реализуется посредством экскурсионной деятельности, которая, включая посетителя в культурное пространство, формирует познавательную активность, интерес к изучению истории родного края, воспитывает уважительное и бережное отношение к своему историко-культурному наследию, духовно обогащает, совершенствует знания о малой родине.</w:t>
      </w:r>
      <w:r w:rsidR="0095533B" w:rsidRPr="00A92CA6">
        <w:rPr>
          <w:rFonts w:eastAsia="Times New Roman"/>
          <w:lang w:eastAsia="ru-RU"/>
        </w:rPr>
        <w:t xml:space="preserve"> </w:t>
      </w:r>
      <w:r w:rsidRPr="00A92CA6">
        <w:rPr>
          <w:rFonts w:eastAsia="Times New Roman"/>
          <w:lang w:eastAsia="ru-RU"/>
        </w:rPr>
        <w:t>Экскурсионная работа содействует развитию социально-активной, культурно образованной, нравственно здоровой личности.</w:t>
      </w:r>
    </w:p>
    <w:p w:rsidR="00B01510" w:rsidRPr="00A92CA6" w:rsidRDefault="0095533B" w:rsidP="00855214">
      <w:pPr>
        <w:spacing w:line="276" w:lineRule="auto"/>
        <w:jc w:val="both"/>
        <w:rPr>
          <w:rFonts w:eastAsia="Times New Roman"/>
          <w:lang w:eastAsia="ru-RU"/>
        </w:rPr>
      </w:pPr>
      <w:r w:rsidRPr="00A92CA6">
        <w:rPr>
          <w:rFonts w:eastAsia="Times New Roman"/>
          <w:lang w:eastAsia="ru-RU"/>
        </w:rPr>
        <w:t xml:space="preserve">  </w:t>
      </w:r>
      <w:r w:rsidR="00705AB1" w:rsidRPr="00A92CA6">
        <w:rPr>
          <w:rFonts w:eastAsia="Times New Roman"/>
          <w:lang w:eastAsia="ru-RU"/>
        </w:rPr>
        <w:tab/>
      </w:r>
      <w:r w:rsidRPr="00A92CA6">
        <w:rPr>
          <w:rFonts w:eastAsia="Times New Roman"/>
          <w:lang w:eastAsia="ru-RU"/>
        </w:rPr>
        <w:t xml:space="preserve"> Год от года число посетителей музея различается незначительно</w:t>
      </w:r>
      <w:r w:rsidR="00B01510" w:rsidRPr="00A92CA6">
        <w:rPr>
          <w:rFonts w:eastAsia="Times New Roman"/>
          <w:lang w:eastAsia="ru-RU"/>
        </w:rPr>
        <w:t xml:space="preserve">. </w:t>
      </w:r>
      <w:r w:rsidRPr="00A92CA6">
        <w:rPr>
          <w:rFonts w:eastAsia="Times New Roman"/>
          <w:lang w:eastAsia="ru-RU"/>
        </w:rPr>
        <w:t>На этот показатель влияет тематика проводимых занятий, время, требуемое на подготовку, место проведения, штатная наполняемость музея.</w:t>
      </w:r>
    </w:p>
    <w:p w:rsidR="0095533B" w:rsidRPr="00A92CA6" w:rsidRDefault="0095533B" w:rsidP="00855214">
      <w:pPr>
        <w:spacing w:line="276" w:lineRule="auto"/>
        <w:jc w:val="both"/>
        <w:rPr>
          <w:rFonts w:eastAsia="Times New Roman"/>
          <w:lang w:eastAsia="ru-RU"/>
        </w:rPr>
      </w:pPr>
      <w:r w:rsidRPr="00A92CA6">
        <w:rPr>
          <w:rFonts w:eastAsia="Times New Roman"/>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1"/>
        <w:gridCol w:w="1400"/>
        <w:gridCol w:w="1518"/>
        <w:gridCol w:w="1392"/>
        <w:gridCol w:w="1252"/>
      </w:tblGrid>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Показатели</w:t>
            </w:r>
          </w:p>
        </w:tc>
        <w:tc>
          <w:tcPr>
            <w:tcW w:w="1400" w:type="dxa"/>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2015 год</w:t>
            </w:r>
          </w:p>
        </w:tc>
        <w:tc>
          <w:tcPr>
            <w:tcW w:w="1518"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2016 год</w:t>
            </w:r>
          </w:p>
        </w:tc>
        <w:tc>
          <w:tcPr>
            <w:tcW w:w="1392"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2017 год</w:t>
            </w:r>
          </w:p>
        </w:tc>
        <w:tc>
          <w:tcPr>
            <w:tcW w:w="1252" w:type="dxa"/>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2018 год</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Количество посетителей (чел.)</w:t>
            </w:r>
          </w:p>
        </w:tc>
        <w:tc>
          <w:tcPr>
            <w:tcW w:w="1400" w:type="dxa"/>
          </w:tcPr>
          <w:p w:rsidR="0095533B" w:rsidRPr="00A92CA6" w:rsidRDefault="0095533B" w:rsidP="00855214">
            <w:pPr>
              <w:spacing w:line="276" w:lineRule="auto"/>
              <w:jc w:val="center"/>
            </w:pPr>
            <w:r w:rsidRPr="00A92CA6">
              <w:t>4290</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4263</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3830</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4345</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в т.ч. льготные категории (чел.)</w:t>
            </w:r>
          </w:p>
        </w:tc>
        <w:tc>
          <w:tcPr>
            <w:tcW w:w="1400" w:type="dxa"/>
          </w:tcPr>
          <w:p w:rsidR="0095533B" w:rsidRPr="00A92CA6" w:rsidRDefault="0095533B" w:rsidP="00855214">
            <w:pPr>
              <w:spacing w:line="276" w:lineRule="auto"/>
              <w:jc w:val="center"/>
            </w:pPr>
            <w:r w:rsidRPr="00A92CA6">
              <w:t>914</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1141</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1521</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2847</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в т. ч. детей до 16 лет (чел.)</w:t>
            </w:r>
          </w:p>
        </w:tc>
        <w:tc>
          <w:tcPr>
            <w:tcW w:w="1400" w:type="dxa"/>
          </w:tcPr>
          <w:p w:rsidR="0095533B" w:rsidRPr="00A92CA6" w:rsidRDefault="0095533B" w:rsidP="00855214">
            <w:pPr>
              <w:spacing w:line="276" w:lineRule="auto"/>
              <w:jc w:val="center"/>
            </w:pPr>
            <w:r w:rsidRPr="00A92CA6">
              <w:t>2643</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2032</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2365</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2530</w:t>
            </w:r>
          </w:p>
        </w:tc>
      </w:tr>
      <w:tr w:rsidR="0095533B" w:rsidRPr="00A92CA6" w:rsidTr="00E44591">
        <w:trPr>
          <w:trHeight w:val="435"/>
        </w:trPr>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Охват населения музейным обслуживанием (%)</w:t>
            </w:r>
          </w:p>
        </w:tc>
        <w:tc>
          <w:tcPr>
            <w:tcW w:w="1400" w:type="dxa"/>
          </w:tcPr>
          <w:p w:rsidR="0095533B" w:rsidRPr="00A92CA6" w:rsidRDefault="0095533B" w:rsidP="00855214">
            <w:pPr>
              <w:spacing w:line="276" w:lineRule="auto"/>
              <w:jc w:val="center"/>
            </w:pPr>
            <w:r w:rsidRPr="00A92CA6">
              <w:t>30,8%</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30,7%</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29,2%</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26,8%</w:t>
            </w:r>
          </w:p>
        </w:tc>
      </w:tr>
      <w:tr w:rsidR="0095533B" w:rsidRPr="00A92CA6" w:rsidTr="00E44591">
        <w:tc>
          <w:tcPr>
            <w:tcW w:w="3901" w:type="dxa"/>
            <w:shd w:val="clear" w:color="auto" w:fill="auto"/>
          </w:tcPr>
          <w:p w:rsidR="0095533B" w:rsidRPr="00A92CA6" w:rsidRDefault="0095533B" w:rsidP="00855214">
            <w:pPr>
              <w:spacing w:line="276" w:lineRule="auto"/>
              <w:jc w:val="both"/>
              <w:rPr>
                <w:rFonts w:eastAsia="Times New Roman"/>
                <w:lang w:eastAsia="ru-RU"/>
              </w:rPr>
            </w:pPr>
            <w:r w:rsidRPr="00A92CA6">
              <w:rPr>
                <w:rFonts w:eastAsia="Times New Roman"/>
                <w:lang w:eastAsia="ru-RU"/>
              </w:rPr>
              <w:t>Количество  экскурсий (ед.)</w:t>
            </w:r>
          </w:p>
        </w:tc>
        <w:tc>
          <w:tcPr>
            <w:tcW w:w="1400"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162</w:t>
            </w:r>
          </w:p>
        </w:tc>
        <w:tc>
          <w:tcPr>
            <w:tcW w:w="1518"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164</w:t>
            </w:r>
          </w:p>
        </w:tc>
        <w:tc>
          <w:tcPr>
            <w:tcW w:w="1392" w:type="dxa"/>
            <w:shd w:val="clear" w:color="auto" w:fill="auto"/>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143</w:t>
            </w:r>
          </w:p>
        </w:tc>
        <w:tc>
          <w:tcPr>
            <w:tcW w:w="1252" w:type="dxa"/>
          </w:tcPr>
          <w:p w:rsidR="0095533B" w:rsidRPr="00A92CA6" w:rsidRDefault="0095533B" w:rsidP="00855214">
            <w:pPr>
              <w:spacing w:line="276" w:lineRule="auto"/>
              <w:jc w:val="center"/>
              <w:rPr>
                <w:rFonts w:eastAsia="Times New Roman"/>
                <w:lang w:eastAsia="ru-RU"/>
              </w:rPr>
            </w:pPr>
            <w:r w:rsidRPr="00A92CA6">
              <w:rPr>
                <w:rFonts w:eastAsia="Times New Roman"/>
                <w:lang w:eastAsia="ru-RU"/>
              </w:rPr>
              <w:t>129</w:t>
            </w:r>
          </w:p>
        </w:tc>
      </w:tr>
    </w:tbl>
    <w:p w:rsidR="00B01510" w:rsidRPr="00A92CA6" w:rsidRDefault="00B01510" w:rsidP="00855214">
      <w:pPr>
        <w:spacing w:line="276" w:lineRule="auto"/>
        <w:jc w:val="both"/>
        <w:rPr>
          <w:rFonts w:eastAsia="Times New Roman"/>
          <w:i/>
          <w:lang w:eastAsia="ru-RU"/>
        </w:rPr>
      </w:pPr>
    </w:p>
    <w:p w:rsidR="001459AE" w:rsidRPr="00A92CA6" w:rsidRDefault="00B01510" w:rsidP="00855214">
      <w:pPr>
        <w:spacing w:line="276" w:lineRule="auto"/>
        <w:ind w:firstLine="708"/>
        <w:jc w:val="both"/>
        <w:rPr>
          <w:rFonts w:eastAsia="Times New Roman"/>
          <w:lang w:eastAsia="ru-RU"/>
        </w:rPr>
      </w:pPr>
      <w:r w:rsidRPr="00A92CA6">
        <w:rPr>
          <w:rFonts w:eastAsia="Times New Roman"/>
          <w:lang w:eastAsia="ru-RU"/>
        </w:rPr>
        <w:t xml:space="preserve">Основные посетители музея – местное население, поскольку наш музей не лежит на пересечении туристических маршрутов. </w:t>
      </w:r>
      <w:r w:rsidR="00DD2C71" w:rsidRPr="00A92CA6">
        <w:rPr>
          <w:rFonts w:eastAsia="Times New Roman"/>
          <w:lang w:eastAsia="ru-RU"/>
        </w:rPr>
        <w:t xml:space="preserve">Однако основная часть гостей города, </w:t>
      </w:r>
      <w:r w:rsidR="00DD2C71" w:rsidRPr="00A92CA6">
        <w:rPr>
          <w:rFonts w:eastAsia="Times New Roman"/>
          <w:lang w:eastAsia="ru-RU"/>
        </w:rPr>
        <w:lastRenderedPageBreak/>
        <w:t xml:space="preserve">командировочных, реализуют </w:t>
      </w:r>
      <w:r w:rsidR="00F459F5" w:rsidRPr="00A92CA6">
        <w:rPr>
          <w:rFonts w:eastAsia="Times New Roman"/>
          <w:lang w:eastAsia="ru-RU"/>
        </w:rPr>
        <w:t xml:space="preserve"> возможность экскурсионного ознакомления с нашим музеем</w:t>
      </w:r>
      <w:r w:rsidR="00F459F5" w:rsidRPr="00A92CA6">
        <w:rPr>
          <w:rFonts w:eastAsia="Times New Roman"/>
          <w:color w:val="FF0000"/>
          <w:lang w:eastAsia="ru-RU"/>
        </w:rPr>
        <w:t xml:space="preserve">. </w:t>
      </w:r>
      <w:r w:rsidR="00B44221" w:rsidRPr="00A92CA6">
        <w:rPr>
          <w:rFonts w:eastAsia="Times New Roman"/>
          <w:lang w:eastAsia="ru-RU"/>
        </w:rPr>
        <w:t>Самые б</w:t>
      </w:r>
      <w:r w:rsidR="00957F89" w:rsidRPr="00A92CA6">
        <w:rPr>
          <w:rFonts w:eastAsia="Times New Roman"/>
          <w:lang w:eastAsia="ru-RU"/>
        </w:rPr>
        <w:t>лагодарные посетители</w:t>
      </w:r>
      <w:r w:rsidRPr="00A92CA6">
        <w:rPr>
          <w:rFonts w:eastAsia="Times New Roman"/>
          <w:lang w:eastAsia="ru-RU"/>
        </w:rPr>
        <w:t xml:space="preserve"> </w:t>
      </w:r>
      <w:r w:rsidR="00957F89" w:rsidRPr="00A92CA6">
        <w:rPr>
          <w:rFonts w:eastAsia="Times New Roman"/>
          <w:lang w:eastAsia="ru-RU"/>
        </w:rPr>
        <w:t xml:space="preserve">- это дети. </w:t>
      </w:r>
      <w:r w:rsidR="00454F05" w:rsidRPr="00A92CA6">
        <w:rPr>
          <w:rFonts w:eastAsia="Times New Roman"/>
          <w:lang w:eastAsia="ru-RU"/>
        </w:rPr>
        <w:t>С 2013 года реализуется программа «Музей и дети», которая предусматривает сотрудничество с учреждениями образования по различным направлениям. В рамках этой программы проводится неделя «Музей и школа»</w:t>
      </w:r>
      <w:r w:rsidR="00351A46" w:rsidRPr="00A92CA6">
        <w:rPr>
          <w:rFonts w:eastAsia="Times New Roman"/>
          <w:lang w:eastAsia="ru-RU"/>
        </w:rPr>
        <w:t>, включающая в себя курс занятий, выставок, конкурсов краеведческой направленности.</w:t>
      </w:r>
      <w:r w:rsidR="0095533B" w:rsidRPr="00A92CA6">
        <w:rPr>
          <w:rFonts w:eastAsia="Times New Roman"/>
          <w:lang w:eastAsia="ru-RU"/>
        </w:rPr>
        <w:t xml:space="preserve"> </w:t>
      </w:r>
    </w:p>
    <w:p w:rsidR="0095533B" w:rsidRPr="00A92CA6" w:rsidRDefault="0095533B" w:rsidP="00855214">
      <w:pPr>
        <w:spacing w:line="276" w:lineRule="auto"/>
        <w:ind w:firstLine="708"/>
        <w:jc w:val="both"/>
        <w:rPr>
          <w:rFonts w:eastAsia="Times New Roman"/>
          <w:lang w:eastAsia="ru-RU"/>
        </w:rPr>
      </w:pPr>
      <w:r w:rsidRPr="00A92CA6">
        <w:rPr>
          <w:rFonts w:eastAsia="Times New Roman"/>
          <w:lang w:eastAsia="ru-RU"/>
        </w:rPr>
        <w:t xml:space="preserve">В 2015 году она была посвящена 70-летию победы в Великой Отечественной войне, </w:t>
      </w:r>
      <w:r w:rsidR="00520AA6" w:rsidRPr="00A92CA6">
        <w:rPr>
          <w:rFonts w:eastAsia="Times New Roman"/>
          <w:lang w:eastAsia="ru-RU"/>
        </w:rPr>
        <w:t>в 2016 году</w:t>
      </w:r>
      <w:r w:rsidR="0009676C" w:rsidRPr="00A92CA6">
        <w:rPr>
          <w:rFonts w:eastAsia="Times New Roman"/>
          <w:lang w:eastAsia="ru-RU"/>
        </w:rPr>
        <w:t xml:space="preserve"> 90-летию </w:t>
      </w:r>
      <w:r w:rsidR="00520AA6" w:rsidRPr="00A92CA6">
        <w:rPr>
          <w:rFonts w:eastAsia="Times New Roman"/>
          <w:lang w:eastAsia="ru-RU"/>
        </w:rPr>
        <w:t>района, в 2017 Году</w:t>
      </w:r>
      <w:r w:rsidRPr="00A92CA6">
        <w:rPr>
          <w:rFonts w:eastAsia="Times New Roman"/>
          <w:lang w:eastAsia="ru-RU"/>
        </w:rPr>
        <w:t xml:space="preserve"> экологии.</w:t>
      </w:r>
    </w:p>
    <w:p w:rsidR="00B0696E" w:rsidRPr="00A92CA6" w:rsidRDefault="00B01510" w:rsidP="00855214">
      <w:pPr>
        <w:spacing w:line="276" w:lineRule="auto"/>
        <w:ind w:firstLine="708"/>
        <w:jc w:val="both"/>
        <w:rPr>
          <w:rFonts w:eastAsia="Times New Roman"/>
          <w:lang w:eastAsia="ru-RU"/>
        </w:rPr>
      </w:pPr>
      <w:r w:rsidRPr="00A92CA6">
        <w:t>Музе</w:t>
      </w:r>
      <w:r w:rsidR="0095533B" w:rsidRPr="00A92CA6">
        <w:t>йные праздники -  одна из форм</w:t>
      </w:r>
      <w:r w:rsidRPr="00A92CA6">
        <w:t xml:space="preserve"> массовой научно-просветительской работы, где происходит вовлечение посетителя в культурно-творческий процесс, развитие его творческой самодеятельности, обеспечение его межличностного общения. </w:t>
      </w:r>
      <w:r w:rsidR="006B29C6" w:rsidRPr="00A92CA6">
        <w:rPr>
          <w:rFonts w:eastAsia="Times New Roman"/>
          <w:lang w:eastAsia="ru-RU"/>
        </w:rPr>
        <w:t>Музейные праздники предполагают соблюдение ритуальности, использование игровых элементов театрализации и игровых</w:t>
      </w:r>
      <w:r w:rsidR="00520AA6" w:rsidRPr="00A92CA6">
        <w:rPr>
          <w:rFonts w:eastAsia="Times New Roman"/>
          <w:lang w:eastAsia="ru-RU"/>
        </w:rPr>
        <w:t xml:space="preserve"> эпизодов. Наш музей накопил</w:t>
      </w:r>
      <w:r w:rsidR="006B29C6" w:rsidRPr="00A92CA6">
        <w:rPr>
          <w:rFonts w:eastAsia="Times New Roman"/>
          <w:lang w:eastAsia="ru-RU"/>
        </w:rPr>
        <w:t xml:space="preserve"> достаточный </w:t>
      </w:r>
      <w:r w:rsidR="00520AA6" w:rsidRPr="00A92CA6">
        <w:rPr>
          <w:rFonts w:eastAsia="Times New Roman"/>
          <w:lang w:eastAsia="ru-RU"/>
        </w:rPr>
        <w:t>опыт проведения таких мероприятий</w:t>
      </w:r>
      <w:r w:rsidR="006B29C6" w:rsidRPr="00A92CA6">
        <w:rPr>
          <w:rFonts w:eastAsia="Times New Roman"/>
          <w:lang w:eastAsia="ru-RU"/>
        </w:rPr>
        <w:t xml:space="preserve">. </w:t>
      </w:r>
      <w:r w:rsidRPr="00A92CA6">
        <w:rPr>
          <w:rFonts w:eastAsia="Times New Roman"/>
          <w:lang w:eastAsia="ru-RU"/>
        </w:rPr>
        <w:t>Большой популярностью пользуются т</w:t>
      </w:r>
      <w:r w:rsidR="006B29C6" w:rsidRPr="00A92CA6">
        <w:rPr>
          <w:rFonts w:eastAsia="Times New Roman"/>
          <w:lang w:eastAsia="ru-RU"/>
        </w:rPr>
        <w:t>ради</w:t>
      </w:r>
      <w:r w:rsidRPr="00A92CA6">
        <w:rPr>
          <w:rFonts w:eastAsia="Times New Roman"/>
          <w:lang w:eastAsia="ru-RU"/>
        </w:rPr>
        <w:t>ционные</w:t>
      </w:r>
      <w:r w:rsidR="006B29C6" w:rsidRPr="00A92CA6">
        <w:rPr>
          <w:rFonts w:eastAsia="Times New Roman"/>
          <w:lang w:eastAsia="ru-RU"/>
        </w:rPr>
        <w:t xml:space="preserve">  праздники</w:t>
      </w:r>
      <w:r w:rsidRPr="00A92CA6">
        <w:rPr>
          <w:rFonts w:eastAsia="Times New Roman"/>
          <w:lang w:eastAsia="ru-RU"/>
        </w:rPr>
        <w:t>: Масленица, Пасха</w:t>
      </w:r>
      <w:r w:rsidR="006B29C6" w:rsidRPr="00A92CA6">
        <w:rPr>
          <w:rFonts w:eastAsia="Times New Roman"/>
          <w:lang w:eastAsia="ru-RU"/>
        </w:rPr>
        <w:t>, Рожд</w:t>
      </w:r>
      <w:r w:rsidRPr="00A92CA6">
        <w:rPr>
          <w:rFonts w:eastAsia="Times New Roman"/>
          <w:lang w:eastAsia="ru-RU"/>
        </w:rPr>
        <w:t>ество</w:t>
      </w:r>
      <w:r w:rsidR="006B29C6" w:rsidRPr="00A92CA6">
        <w:rPr>
          <w:rFonts w:eastAsia="Times New Roman"/>
          <w:lang w:eastAsia="ru-RU"/>
        </w:rPr>
        <w:t xml:space="preserve">, </w:t>
      </w:r>
      <w:r w:rsidRPr="00A92CA6">
        <w:rPr>
          <w:rFonts w:eastAsia="Times New Roman"/>
          <w:lang w:eastAsia="ru-RU"/>
        </w:rPr>
        <w:t>Троица</w:t>
      </w:r>
      <w:r w:rsidR="006B29C6" w:rsidRPr="00A92CA6">
        <w:rPr>
          <w:rFonts w:eastAsia="Times New Roman"/>
          <w:lang w:eastAsia="ru-RU"/>
        </w:rPr>
        <w:t>, Новый год</w:t>
      </w:r>
      <w:r w:rsidR="00454F05" w:rsidRPr="00A92CA6">
        <w:rPr>
          <w:rFonts w:eastAsia="Times New Roman"/>
          <w:lang w:eastAsia="ru-RU"/>
        </w:rPr>
        <w:t xml:space="preserve">. </w:t>
      </w:r>
      <w:r w:rsidR="006B29C6" w:rsidRPr="00A92CA6">
        <w:rPr>
          <w:rFonts w:eastAsia="Times New Roman"/>
          <w:lang w:eastAsia="ru-RU"/>
        </w:rPr>
        <w:t xml:space="preserve"> </w:t>
      </w:r>
    </w:p>
    <w:p w:rsidR="00B01510" w:rsidRPr="00A92CA6" w:rsidRDefault="0095533B" w:rsidP="00855214">
      <w:pPr>
        <w:spacing w:line="276" w:lineRule="auto"/>
        <w:ind w:firstLine="708"/>
        <w:jc w:val="both"/>
        <w:rPr>
          <w:rFonts w:eastAsia="Times New Roman"/>
          <w:lang w:eastAsia="ru-RU"/>
        </w:rPr>
      </w:pPr>
      <w:r w:rsidRPr="00A92CA6">
        <w:rPr>
          <w:rFonts w:eastAsia="Times New Roman"/>
          <w:lang w:eastAsia="ru-RU"/>
        </w:rPr>
        <w:t>К</w:t>
      </w:r>
      <w:r w:rsidR="00B01510" w:rsidRPr="00A92CA6">
        <w:rPr>
          <w:rFonts w:eastAsia="Times New Roman"/>
          <w:lang w:eastAsia="ru-RU"/>
        </w:rPr>
        <w:t xml:space="preserve">оллектив музея </w:t>
      </w:r>
      <w:r w:rsidRPr="00A92CA6">
        <w:rPr>
          <w:rFonts w:eastAsia="Times New Roman"/>
          <w:lang w:eastAsia="ru-RU"/>
        </w:rPr>
        <w:t>проводит большую работу по организации мероприятий, выставок-</w:t>
      </w:r>
      <w:r w:rsidR="00520AA6" w:rsidRPr="00A92CA6">
        <w:rPr>
          <w:rFonts w:eastAsia="Times New Roman"/>
          <w:lang w:eastAsia="ru-RU"/>
        </w:rPr>
        <w:t>встреч для предприятий города, общественных организаций и</w:t>
      </w:r>
      <w:r w:rsidR="00B01510" w:rsidRPr="00A92CA6">
        <w:rPr>
          <w:rFonts w:eastAsia="Times New Roman"/>
          <w:lang w:eastAsia="ru-RU"/>
        </w:rPr>
        <w:t xml:space="preserve"> других групп населения.</w:t>
      </w:r>
    </w:p>
    <w:p w:rsidR="00957F89" w:rsidRPr="00A92CA6" w:rsidRDefault="00957F89" w:rsidP="00855214">
      <w:pPr>
        <w:spacing w:line="276" w:lineRule="auto"/>
        <w:ind w:firstLine="708"/>
        <w:jc w:val="both"/>
        <w:rPr>
          <w:rFonts w:eastAsia="Times New Roman"/>
          <w:lang w:eastAsia="ru-RU"/>
        </w:rPr>
      </w:pPr>
      <w:r w:rsidRPr="00A92CA6">
        <w:rPr>
          <w:rFonts w:eastAsia="Times New Roman"/>
          <w:lang w:eastAsia="ru-RU"/>
        </w:rPr>
        <w:t>Музеем накоплен опыт сотрудничества с такими предприятиями, как ОВД г.Бодайбо, ООО «ЛенРэм, ави</w:t>
      </w:r>
      <w:r w:rsidR="00351A46" w:rsidRPr="00A92CA6">
        <w:rPr>
          <w:rFonts w:eastAsia="Times New Roman"/>
          <w:lang w:eastAsia="ru-RU"/>
        </w:rPr>
        <w:t>апредприятием, Военным комиссариатом</w:t>
      </w:r>
      <w:r w:rsidRPr="00A92CA6">
        <w:rPr>
          <w:rFonts w:eastAsia="Times New Roman"/>
          <w:lang w:eastAsia="ru-RU"/>
        </w:rPr>
        <w:t xml:space="preserve">, </w:t>
      </w:r>
      <w:r w:rsidR="00520AA6" w:rsidRPr="00A92CA6">
        <w:rPr>
          <w:rFonts w:eastAsia="Times New Roman"/>
          <w:lang w:eastAsia="ru-RU"/>
        </w:rPr>
        <w:t xml:space="preserve">учреждениями Управления </w:t>
      </w:r>
      <w:r w:rsidRPr="00A92CA6">
        <w:rPr>
          <w:rFonts w:eastAsia="Times New Roman"/>
          <w:lang w:eastAsia="ru-RU"/>
        </w:rPr>
        <w:t>образования и культуры, Витимски</w:t>
      </w:r>
      <w:r w:rsidR="00F23449" w:rsidRPr="00A92CA6">
        <w:rPr>
          <w:rFonts w:eastAsia="Times New Roman"/>
          <w:lang w:eastAsia="ru-RU"/>
        </w:rPr>
        <w:t xml:space="preserve">м государственным заповедником, на протяжении трех </w:t>
      </w:r>
      <w:r w:rsidR="005766BD" w:rsidRPr="00A92CA6">
        <w:rPr>
          <w:rFonts w:eastAsia="Times New Roman"/>
          <w:lang w:eastAsia="ru-RU"/>
        </w:rPr>
        <w:t>лет музей активно участвует в мероприятиях профилактической акции</w:t>
      </w:r>
      <w:r w:rsidR="00F23449" w:rsidRPr="00A92CA6">
        <w:rPr>
          <w:rFonts w:eastAsia="Times New Roman"/>
          <w:lang w:eastAsia="ru-RU"/>
        </w:rPr>
        <w:t xml:space="preserve"> «Лето, подросток, занятость», проведено </w:t>
      </w:r>
      <w:r w:rsidR="00122BF4" w:rsidRPr="00A92CA6">
        <w:rPr>
          <w:rFonts w:eastAsia="Times New Roman"/>
          <w:lang w:eastAsia="ru-RU"/>
        </w:rPr>
        <w:t>7</w:t>
      </w:r>
      <w:r w:rsidR="00F23449" w:rsidRPr="00A92CA6">
        <w:rPr>
          <w:rFonts w:eastAsia="Times New Roman"/>
          <w:lang w:eastAsia="ru-RU"/>
        </w:rPr>
        <w:t xml:space="preserve"> </w:t>
      </w:r>
      <w:r w:rsidR="005766BD" w:rsidRPr="00A92CA6">
        <w:rPr>
          <w:rFonts w:eastAsia="Times New Roman"/>
          <w:lang w:eastAsia="ru-RU"/>
        </w:rPr>
        <w:t>мероприятий с детьми, находящимися в трудной жизненной ситуации</w:t>
      </w:r>
      <w:r w:rsidR="00122BF4" w:rsidRPr="00A92CA6">
        <w:rPr>
          <w:rFonts w:eastAsia="Times New Roman"/>
          <w:lang w:eastAsia="ru-RU"/>
        </w:rPr>
        <w:t>, 6 занятий</w:t>
      </w:r>
      <w:r w:rsidR="00F23449" w:rsidRPr="00A92CA6">
        <w:rPr>
          <w:rFonts w:eastAsia="Times New Roman"/>
          <w:lang w:eastAsia="ru-RU"/>
        </w:rPr>
        <w:t xml:space="preserve"> в летнем оздоровительном лагере «Звездочка».  </w:t>
      </w:r>
    </w:p>
    <w:p w:rsidR="003B67C5" w:rsidRPr="00A92CA6" w:rsidRDefault="0095533B" w:rsidP="00855214">
      <w:pPr>
        <w:spacing w:line="276" w:lineRule="auto"/>
        <w:ind w:firstLine="708"/>
        <w:jc w:val="both"/>
        <w:rPr>
          <w:rFonts w:eastAsia="Times New Roman"/>
          <w:lang w:eastAsia="ru-RU"/>
        </w:rPr>
      </w:pPr>
      <w:r w:rsidRPr="00A92CA6">
        <w:rPr>
          <w:rFonts w:eastAsia="Times New Roman"/>
          <w:lang w:eastAsia="ru-RU"/>
        </w:rPr>
        <w:t xml:space="preserve">На базе музея ежегодно реализуются проекты краеведческой направленности. </w:t>
      </w:r>
      <w:r w:rsidR="003B67C5" w:rsidRPr="00A92CA6">
        <w:rPr>
          <w:rFonts w:eastAsia="Times New Roman"/>
          <w:lang w:eastAsia="ru-RU"/>
        </w:rPr>
        <w:t xml:space="preserve">С целью познакомить население г. Бодайбо и Бодайбинского района </w:t>
      </w:r>
      <w:r w:rsidR="00520AA6" w:rsidRPr="00A92CA6">
        <w:rPr>
          <w:rFonts w:eastAsia="Times New Roman"/>
          <w:lang w:eastAsia="ru-RU"/>
        </w:rPr>
        <w:t>с важнейшими</w:t>
      </w:r>
      <w:r w:rsidR="003B67C5" w:rsidRPr="00A92CA6">
        <w:rPr>
          <w:rFonts w:eastAsia="Times New Roman"/>
          <w:lang w:eastAsia="ru-RU"/>
        </w:rPr>
        <w:t xml:space="preserve"> историческими событиями, происходившими на территории родного края, историей Ленских приисков,</w:t>
      </w:r>
      <w:r w:rsidR="003B67C5" w:rsidRPr="00A92CA6">
        <w:rPr>
          <w:rFonts w:eastAsia="Times New Roman"/>
          <w:iCs/>
          <w:lang w:eastAsia="ru-RU"/>
        </w:rPr>
        <w:t xml:space="preserve"> повысить культурно-интеллектуального уровень жителей города и поселков</w:t>
      </w:r>
      <w:r w:rsidR="00520AA6" w:rsidRPr="00A92CA6">
        <w:rPr>
          <w:rFonts w:eastAsia="Times New Roman"/>
          <w:iCs/>
          <w:lang w:eastAsia="ru-RU"/>
        </w:rPr>
        <w:t>.</w:t>
      </w:r>
      <w:r w:rsidR="003B67C5" w:rsidRPr="00A92CA6">
        <w:rPr>
          <w:rFonts w:eastAsia="Times New Roman"/>
          <w:b/>
          <w:lang w:eastAsia="ru-RU"/>
        </w:rPr>
        <w:t xml:space="preserve"> </w:t>
      </w:r>
      <w:r w:rsidR="00520AA6" w:rsidRPr="00A92CA6">
        <w:rPr>
          <w:rFonts w:eastAsia="Times New Roman"/>
          <w:lang w:eastAsia="ru-RU"/>
        </w:rPr>
        <w:tab/>
        <w:t xml:space="preserve">В </w:t>
      </w:r>
      <w:r w:rsidR="003B67C5" w:rsidRPr="00A92CA6">
        <w:rPr>
          <w:rFonts w:eastAsia="Times New Roman"/>
          <w:lang w:eastAsia="ru-RU"/>
        </w:rPr>
        <w:t xml:space="preserve">2016 году был реализован видеопроект «Дорога истории», организованный в честь празднования 170 – летия открытия золота на р. </w:t>
      </w:r>
      <w:r w:rsidR="00520AA6" w:rsidRPr="00A92CA6">
        <w:rPr>
          <w:rFonts w:eastAsia="Times New Roman"/>
          <w:lang w:eastAsia="ru-RU"/>
        </w:rPr>
        <w:t>Хомолхо и</w:t>
      </w:r>
      <w:r w:rsidR="003B67C5" w:rsidRPr="00A92CA6">
        <w:rPr>
          <w:rFonts w:eastAsia="Times New Roman"/>
          <w:lang w:eastAsia="ru-RU"/>
        </w:rPr>
        <w:t xml:space="preserve"> 90 – летия со дня об</w:t>
      </w:r>
      <w:r w:rsidR="00710465" w:rsidRPr="00A92CA6">
        <w:rPr>
          <w:rFonts w:eastAsia="Times New Roman"/>
          <w:lang w:eastAsia="ru-RU"/>
        </w:rPr>
        <w:t xml:space="preserve">разования Бодайбинского </w:t>
      </w:r>
      <w:r w:rsidR="00520AA6" w:rsidRPr="00A92CA6">
        <w:rPr>
          <w:rFonts w:eastAsia="Times New Roman"/>
          <w:lang w:eastAsia="ru-RU"/>
        </w:rPr>
        <w:t>района, слушателями которого стали 222 человека по приискам и 115 человек</w:t>
      </w:r>
      <w:r w:rsidR="003B67C5" w:rsidRPr="00A92CA6">
        <w:rPr>
          <w:rFonts w:eastAsia="Times New Roman"/>
          <w:lang w:eastAsia="ru-RU"/>
        </w:rPr>
        <w:t xml:space="preserve"> в музее.</w:t>
      </w:r>
    </w:p>
    <w:p w:rsidR="0068120B" w:rsidRPr="00A92CA6" w:rsidRDefault="0068120B" w:rsidP="00855214">
      <w:pPr>
        <w:spacing w:line="276" w:lineRule="auto"/>
        <w:ind w:firstLine="708"/>
        <w:jc w:val="both"/>
        <w:rPr>
          <w:rFonts w:eastAsia="Times New Roman"/>
          <w:lang w:eastAsia="ru-RU"/>
        </w:rPr>
      </w:pPr>
      <w:r w:rsidRPr="00A92CA6">
        <w:rPr>
          <w:rFonts w:eastAsia="Times New Roman"/>
          <w:lang w:eastAsia="ru-RU"/>
        </w:rPr>
        <w:t>В 2017 году, в честь празднования 120</w:t>
      </w:r>
      <w:r w:rsidR="00710465" w:rsidRPr="00A92CA6">
        <w:rPr>
          <w:rFonts w:eastAsia="Times New Roman"/>
          <w:lang w:eastAsia="ru-RU"/>
        </w:rPr>
        <w:t xml:space="preserve"> – летия со дня рождения Н. В. </w:t>
      </w:r>
      <w:r w:rsidRPr="00A92CA6">
        <w:rPr>
          <w:rFonts w:eastAsia="Times New Roman"/>
          <w:lang w:eastAsia="ru-RU"/>
        </w:rPr>
        <w:t xml:space="preserve">Березнера и 100 – летия Октябрьской революции на муниципальном </w:t>
      </w:r>
      <w:r w:rsidR="00520AA6" w:rsidRPr="00A92CA6">
        <w:rPr>
          <w:rFonts w:eastAsia="Times New Roman"/>
          <w:lang w:eastAsia="ru-RU"/>
        </w:rPr>
        <w:t>уровне реализован</w:t>
      </w:r>
      <w:r w:rsidRPr="00A92CA6">
        <w:rPr>
          <w:rFonts w:eastAsia="Times New Roman"/>
          <w:lang w:eastAsia="ru-RU"/>
        </w:rPr>
        <w:t xml:space="preserve"> проект «Время не властно над подвигом», слушатели </w:t>
      </w:r>
      <w:r w:rsidR="00520AA6" w:rsidRPr="00A92CA6">
        <w:rPr>
          <w:rFonts w:eastAsia="Times New Roman"/>
          <w:lang w:eastAsia="ru-RU"/>
        </w:rPr>
        <w:t>34 человека прииск</w:t>
      </w:r>
      <w:r w:rsidRPr="00A92CA6">
        <w:rPr>
          <w:rFonts w:eastAsia="Times New Roman"/>
          <w:lang w:eastAsia="ru-RU"/>
        </w:rPr>
        <w:t xml:space="preserve"> Балахнинский, </w:t>
      </w:r>
      <w:r w:rsidR="00520AA6" w:rsidRPr="00A92CA6">
        <w:rPr>
          <w:rFonts w:eastAsia="Times New Roman"/>
          <w:lang w:eastAsia="ru-RU"/>
        </w:rPr>
        <w:t>115 человек</w:t>
      </w:r>
      <w:r w:rsidRPr="00A92CA6">
        <w:rPr>
          <w:rFonts w:eastAsia="Times New Roman"/>
          <w:lang w:eastAsia="ru-RU"/>
        </w:rPr>
        <w:t xml:space="preserve"> в музее, 765 вне музея.</w:t>
      </w:r>
    </w:p>
    <w:p w:rsidR="003B67C5" w:rsidRPr="00A92CA6" w:rsidRDefault="0068120B" w:rsidP="00855214">
      <w:pPr>
        <w:spacing w:after="200" w:line="276" w:lineRule="auto"/>
        <w:ind w:firstLine="708"/>
        <w:jc w:val="both"/>
        <w:rPr>
          <w:rFonts w:eastAsiaTheme="minorEastAsia"/>
          <w:lang w:eastAsia="ru-RU"/>
        </w:rPr>
      </w:pPr>
      <w:r w:rsidRPr="00A92CA6">
        <w:rPr>
          <w:rFonts w:eastAsiaTheme="minorEastAsia"/>
          <w:lang w:eastAsia="ru-RU"/>
        </w:rPr>
        <w:t>Вовлечение молодёжи и жителей города в познавательную и поисковую деятельность, расширение знаний о городе и районе, в котором они родились, основная цель проекта 2017</w:t>
      </w:r>
      <w:r w:rsidR="00520AA6" w:rsidRPr="00A92CA6">
        <w:rPr>
          <w:rFonts w:eastAsiaTheme="minorEastAsia"/>
          <w:lang w:eastAsia="ru-RU"/>
        </w:rPr>
        <w:t xml:space="preserve"> </w:t>
      </w:r>
      <w:r w:rsidRPr="00A92CA6">
        <w:rPr>
          <w:rFonts w:eastAsiaTheme="minorEastAsia"/>
          <w:lang w:eastAsia="ru-RU"/>
        </w:rPr>
        <w:t>года «Знание прошлого – это всегда взгляд в будущее», участниками которого стали – 134 человека.</w:t>
      </w:r>
    </w:p>
    <w:p w:rsidR="0095533B" w:rsidRPr="00A92CA6" w:rsidRDefault="0095533B" w:rsidP="00855214">
      <w:pPr>
        <w:spacing w:after="200" w:line="276" w:lineRule="auto"/>
        <w:ind w:firstLine="708"/>
        <w:jc w:val="both"/>
        <w:rPr>
          <w:rFonts w:eastAsiaTheme="minorEastAsia"/>
          <w:lang w:eastAsia="ru-RU"/>
        </w:rPr>
      </w:pPr>
      <w:r w:rsidRPr="00A92CA6">
        <w:rPr>
          <w:rFonts w:eastAsiaTheme="minorEastAsia"/>
          <w:lang w:eastAsia="ru-RU"/>
        </w:rPr>
        <w:t>В нынешнем году ведётся подготовительная работа по реализации проекта «Военный альбом</w:t>
      </w:r>
      <w:r w:rsidR="00520AA6" w:rsidRPr="00A92CA6">
        <w:rPr>
          <w:rFonts w:eastAsiaTheme="minorEastAsia"/>
          <w:lang w:eastAsia="ru-RU"/>
        </w:rPr>
        <w:t>», целью</w:t>
      </w:r>
      <w:r w:rsidRPr="00A92CA6">
        <w:rPr>
          <w:rFonts w:eastAsiaTheme="minorEastAsia"/>
          <w:lang w:eastAsia="ru-RU"/>
        </w:rPr>
        <w:t xml:space="preserve"> которого является восстановление и сохранение исторической памяти</w:t>
      </w:r>
      <w:r w:rsidR="00520AA6" w:rsidRPr="00A92CA6">
        <w:rPr>
          <w:rFonts w:eastAsiaTheme="minorEastAsia"/>
          <w:lang w:eastAsia="ru-RU"/>
        </w:rPr>
        <w:t xml:space="preserve"> о ветеранах Великой Отечественной Войны</w:t>
      </w:r>
      <w:r w:rsidRPr="00A92CA6">
        <w:rPr>
          <w:rFonts w:eastAsiaTheme="minorEastAsia"/>
          <w:lang w:eastAsia="ru-RU"/>
        </w:rPr>
        <w:t xml:space="preserve"> для воспитания подрастающего поколения в духе гражданственности и патриотизма.</w:t>
      </w:r>
    </w:p>
    <w:p w:rsidR="00385EE2" w:rsidRPr="00A92CA6" w:rsidRDefault="00385EE2" w:rsidP="00855214">
      <w:pPr>
        <w:spacing w:line="276" w:lineRule="auto"/>
        <w:ind w:firstLine="708"/>
        <w:jc w:val="both"/>
        <w:rPr>
          <w:rFonts w:eastAsia="Times New Roman"/>
          <w:lang w:eastAsia="ru-RU"/>
        </w:rPr>
      </w:pPr>
      <w:r w:rsidRPr="00A92CA6">
        <w:rPr>
          <w:rFonts w:eastAsia="Times New Roman"/>
          <w:lang w:eastAsia="ru-RU"/>
        </w:rPr>
        <w:t>Коллективом музея проведена работа по подготовке и открытию мемориальных досок:</w:t>
      </w:r>
    </w:p>
    <w:p w:rsidR="00385EE2" w:rsidRPr="00A92CA6" w:rsidRDefault="00385EE2" w:rsidP="00855214">
      <w:pPr>
        <w:spacing w:line="276" w:lineRule="auto"/>
        <w:ind w:firstLine="708"/>
        <w:jc w:val="both"/>
        <w:rPr>
          <w:rFonts w:eastAsia="Times New Roman"/>
          <w:lang w:eastAsia="ru-RU"/>
        </w:rPr>
      </w:pPr>
      <w:r w:rsidRPr="00A92CA6">
        <w:rPr>
          <w:rFonts w:eastAsia="Times New Roman"/>
          <w:lang w:eastAsia="ru-RU"/>
        </w:rPr>
        <w:t xml:space="preserve">- </w:t>
      </w:r>
      <w:r w:rsidR="00B22455" w:rsidRPr="00A92CA6">
        <w:rPr>
          <w:rFonts w:eastAsia="Times New Roman"/>
          <w:lang w:eastAsia="ru-RU"/>
        </w:rPr>
        <w:t>краеведу, геологу, П</w:t>
      </w:r>
      <w:r w:rsidRPr="00A92CA6">
        <w:rPr>
          <w:rFonts w:eastAsia="Times New Roman"/>
          <w:lang w:eastAsia="ru-RU"/>
        </w:rPr>
        <w:t>очетному гражданину г. Бодайб</w:t>
      </w:r>
      <w:r w:rsidR="00710465" w:rsidRPr="00A92CA6">
        <w:rPr>
          <w:rFonts w:eastAsia="Times New Roman"/>
          <w:lang w:eastAsia="ru-RU"/>
        </w:rPr>
        <w:t>о Мунгалову Н. Н.</w:t>
      </w:r>
      <w:r w:rsidRPr="00A92CA6">
        <w:rPr>
          <w:rFonts w:eastAsia="Times New Roman"/>
          <w:lang w:eastAsia="ru-RU"/>
        </w:rPr>
        <w:t>;</w:t>
      </w:r>
    </w:p>
    <w:p w:rsidR="00385EE2" w:rsidRPr="00A92CA6" w:rsidRDefault="00385EE2" w:rsidP="00855214">
      <w:pPr>
        <w:spacing w:line="276" w:lineRule="auto"/>
        <w:ind w:firstLine="708"/>
        <w:jc w:val="both"/>
        <w:rPr>
          <w:rFonts w:eastAsiaTheme="minorEastAsia"/>
          <w:lang w:eastAsia="ru-RU"/>
        </w:rPr>
      </w:pPr>
      <w:r w:rsidRPr="00A92CA6">
        <w:rPr>
          <w:rFonts w:eastAsiaTheme="minorEastAsia"/>
          <w:lang w:eastAsia="ru-RU"/>
        </w:rPr>
        <w:t>- ветеранам педагогического труда, почетным работникам Бодайбинского горного техникума Тарасову А.Г. и Курочкину А.Л.,</w:t>
      </w:r>
    </w:p>
    <w:p w:rsidR="00385EE2" w:rsidRPr="00A92CA6" w:rsidRDefault="00385EE2" w:rsidP="00855214">
      <w:pPr>
        <w:spacing w:line="276" w:lineRule="auto"/>
        <w:ind w:firstLine="708"/>
        <w:jc w:val="both"/>
        <w:rPr>
          <w:rFonts w:eastAsia="Times New Roman"/>
          <w:lang w:eastAsia="ru-RU"/>
        </w:rPr>
      </w:pPr>
      <w:r w:rsidRPr="00A92CA6">
        <w:rPr>
          <w:rFonts w:eastAsiaTheme="minorEastAsia"/>
          <w:lang w:eastAsia="ru-RU"/>
        </w:rPr>
        <w:t>- ветерану Великой Отечественной Войн</w:t>
      </w:r>
      <w:r w:rsidR="00710465" w:rsidRPr="00A92CA6">
        <w:rPr>
          <w:rFonts w:eastAsiaTheme="minorEastAsia"/>
          <w:lang w:eastAsia="ru-RU"/>
        </w:rPr>
        <w:t>ы 1941-1945 годов Кропове Ф. Ф</w:t>
      </w:r>
      <w:r w:rsidRPr="00A92CA6">
        <w:rPr>
          <w:rFonts w:eastAsiaTheme="minorEastAsia"/>
          <w:lang w:eastAsia="ru-RU"/>
        </w:rPr>
        <w:t>.</w:t>
      </w:r>
    </w:p>
    <w:p w:rsidR="0095533B" w:rsidRPr="00A92CA6" w:rsidRDefault="00385EE2" w:rsidP="00855214">
      <w:pPr>
        <w:spacing w:after="200" w:line="276" w:lineRule="auto"/>
        <w:ind w:firstLine="709"/>
        <w:jc w:val="both"/>
        <w:rPr>
          <w:rFonts w:eastAsiaTheme="minorEastAsia"/>
          <w:lang w:eastAsia="ru-RU"/>
        </w:rPr>
      </w:pPr>
      <w:r w:rsidRPr="00A92CA6">
        <w:rPr>
          <w:rFonts w:eastAsiaTheme="minorEastAsia"/>
          <w:lang w:eastAsia="ru-RU"/>
        </w:rPr>
        <w:t>В течен</w:t>
      </w:r>
      <w:r w:rsidR="004215BE" w:rsidRPr="00A92CA6">
        <w:rPr>
          <w:rFonts w:eastAsiaTheme="minorEastAsia"/>
          <w:lang w:eastAsia="ru-RU"/>
        </w:rPr>
        <w:t>ие года проводятся консультации</w:t>
      </w:r>
      <w:r w:rsidRPr="00A92CA6">
        <w:rPr>
          <w:rFonts w:eastAsiaTheme="minorEastAsia"/>
          <w:lang w:eastAsia="ru-RU"/>
        </w:rPr>
        <w:t>, выдача архивных справок по запросу.</w:t>
      </w:r>
    </w:p>
    <w:p w:rsidR="00511219" w:rsidRPr="00A92CA6" w:rsidRDefault="00511219" w:rsidP="00855214">
      <w:pPr>
        <w:spacing w:after="200" w:line="276" w:lineRule="auto"/>
        <w:ind w:firstLine="709"/>
        <w:jc w:val="both"/>
        <w:rPr>
          <w:rFonts w:eastAsiaTheme="minorEastAsia"/>
          <w:lang w:eastAsia="ru-RU"/>
        </w:rPr>
      </w:pPr>
      <w:r w:rsidRPr="00A92CA6">
        <w:rPr>
          <w:rFonts w:eastAsiaTheme="minorEastAsia"/>
          <w:lang w:eastAsia="ru-RU"/>
        </w:rPr>
        <w:lastRenderedPageBreak/>
        <w:t>Ежегодно сотрудники Бодайбинского краеведческого музея принимают участие в фестивале муз</w:t>
      </w:r>
      <w:r w:rsidR="004215BE" w:rsidRPr="00A92CA6">
        <w:rPr>
          <w:rFonts w:eastAsiaTheme="minorEastAsia"/>
          <w:lang w:eastAsia="ru-RU"/>
        </w:rPr>
        <w:t>еев Иркутской области «</w:t>
      </w:r>
      <w:r w:rsidR="0095533B" w:rsidRPr="00A92CA6">
        <w:rPr>
          <w:rFonts w:eastAsiaTheme="minorEastAsia"/>
          <w:lang w:eastAsia="ru-RU"/>
        </w:rPr>
        <w:t xml:space="preserve">Музейная </w:t>
      </w:r>
      <w:r w:rsidR="004215BE" w:rsidRPr="00A92CA6">
        <w:rPr>
          <w:rFonts w:eastAsiaTheme="minorEastAsia"/>
          <w:lang w:eastAsia="ru-RU"/>
        </w:rPr>
        <w:t>Маёвка», на которых в</w:t>
      </w:r>
      <w:r w:rsidRPr="00A92CA6">
        <w:rPr>
          <w:rFonts w:eastAsiaTheme="minorEastAsia"/>
          <w:lang w:eastAsia="ru-RU"/>
        </w:rPr>
        <w:t>ыступали с докладами</w:t>
      </w:r>
      <w:r w:rsidR="004215BE" w:rsidRPr="00A92CA6">
        <w:rPr>
          <w:rFonts w:eastAsiaTheme="minorEastAsia"/>
          <w:lang w:eastAsia="ru-RU"/>
        </w:rPr>
        <w:t xml:space="preserve"> «Работа Бодайбинского краеведческого музея с посетителями», «История документального кино г. Бодайбо», «Новые </w:t>
      </w:r>
      <w:r w:rsidR="00520AA6" w:rsidRPr="00A92CA6">
        <w:rPr>
          <w:rFonts w:eastAsiaTheme="minorEastAsia"/>
          <w:lang w:eastAsia="ru-RU"/>
        </w:rPr>
        <w:t>поступления Бодайбинского</w:t>
      </w:r>
      <w:r w:rsidR="004215BE" w:rsidRPr="00A92CA6">
        <w:rPr>
          <w:rFonts w:eastAsiaTheme="minorEastAsia"/>
          <w:lang w:eastAsia="ru-RU"/>
        </w:rPr>
        <w:t xml:space="preserve"> городского краеведческого музея»</w:t>
      </w:r>
      <w:r w:rsidR="00520AA6" w:rsidRPr="00A92CA6">
        <w:rPr>
          <w:rFonts w:eastAsiaTheme="minorEastAsia"/>
          <w:lang w:eastAsia="ru-RU"/>
        </w:rPr>
        <w:t>.</w:t>
      </w:r>
    </w:p>
    <w:p w:rsidR="00957F89" w:rsidRPr="00A92CA6" w:rsidRDefault="00957F89" w:rsidP="00855214">
      <w:pPr>
        <w:spacing w:line="276" w:lineRule="auto"/>
        <w:ind w:firstLine="708"/>
        <w:jc w:val="both"/>
        <w:rPr>
          <w:rFonts w:eastAsia="Times New Roman"/>
          <w:lang w:eastAsia="ru-RU"/>
        </w:rPr>
      </w:pPr>
      <w:r w:rsidRPr="00A92CA6">
        <w:rPr>
          <w:rFonts w:eastAsia="Times New Roman"/>
          <w:lang w:eastAsia="ru-RU"/>
        </w:rPr>
        <w:t>За долгие годы работы в музее сформировались свои традиции. Дни 1 июня, 1 октября, 8 августа, 9 мая являются Днями открытых дверей.</w:t>
      </w:r>
      <w:r w:rsidR="0095533B" w:rsidRPr="00A92CA6">
        <w:rPr>
          <w:rFonts w:eastAsia="Times New Roman"/>
          <w:lang w:eastAsia="ru-RU"/>
        </w:rPr>
        <w:t xml:space="preserve"> Каждый месяц предусмотрено одно бесплатное посещение музея для разных категорий граждан.</w:t>
      </w:r>
    </w:p>
    <w:p w:rsidR="004215BE" w:rsidRPr="00A92CA6" w:rsidRDefault="00957F89" w:rsidP="00855214">
      <w:pPr>
        <w:spacing w:line="276" w:lineRule="auto"/>
        <w:ind w:firstLine="708"/>
        <w:jc w:val="both"/>
        <w:rPr>
          <w:rFonts w:eastAsia="Times New Roman"/>
          <w:lang w:eastAsia="ru-RU"/>
        </w:rPr>
      </w:pPr>
      <w:r w:rsidRPr="00A92CA6">
        <w:rPr>
          <w:rFonts w:eastAsia="Times New Roman"/>
          <w:lang w:eastAsia="ru-RU"/>
        </w:rPr>
        <w:t>Традиционн</w:t>
      </w:r>
      <w:r w:rsidR="00520AA6" w:rsidRPr="00A92CA6">
        <w:rPr>
          <w:rFonts w:eastAsia="Times New Roman"/>
          <w:lang w:eastAsia="ru-RU"/>
        </w:rPr>
        <w:t xml:space="preserve">ым </w:t>
      </w:r>
      <w:r w:rsidR="005766BD" w:rsidRPr="00A92CA6">
        <w:rPr>
          <w:rFonts w:eastAsia="Times New Roman"/>
          <w:lang w:eastAsia="ru-RU"/>
        </w:rPr>
        <w:t>стало проведение</w:t>
      </w:r>
      <w:r w:rsidR="00520AA6" w:rsidRPr="00A92CA6">
        <w:rPr>
          <w:rFonts w:eastAsia="Times New Roman"/>
          <w:lang w:eastAsia="ru-RU"/>
        </w:rPr>
        <w:t xml:space="preserve"> на базе</w:t>
      </w:r>
      <w:r w:rsidRPr="00A92CA6">
        <w:rPr>
          <w:rFonts w:eastAsia="Times New Roman"/>
          <w:lang w:eastAsia="ru-RU"/>
        </w:rPr>
        <w:t xml:space="preserve"> музея Уроков мужества и памяти, посвящённых Дню з</w:t>
      </w:r>
      <w:r w:rsidR="00351A46" w:rsidRPr="00A92CA6">
        <w:rPr>
          <w:rFonts w:eastAsia="Times New Roman"/>
          <w:lang w:eastAsia="ru-RU"/>
        </w:rPr>
        <w:t>ащитника Отечества и Дню Победы</w:t>
      </w:r>
      <w:r w:rsidRPr="00A92CA6">
        <w:rPr>
          <w:rFonts w:eastAsia="Times New Roman"/>
          <w:lang w:eastAsia="ru-RU"/>
        </w:rPr>
        <w:t>, осенних краеведческих чтений.</w:t>
      </w:r>
      <w:r w:rsidR="0095533B" w:rsidRPr="00A92CA6">
        <w:rPr>
          <w:rFonts w:eastAsia="Times New Roman"/>
          <w:lang w:eastAsia="ru-RU"/>
        </w:rPr>
        <w:t xml:space="preserve"> </w:t>
      </w:r>
      <w:r w:rsidR="00351A46" w:rsidRPr="00A92CA6">
        <w:rPr>
          <w:rFonts w:eastAsia="Times New Roman"/>
          <w:lang w:eastAsia="ru-RU"/>
        </w:rPr>
        <w:t>Ежегодными стали всероссийские акции</w:t>
      </w:r>
      <w:r w:rsidR="0080662B" w:rsidRPr="00A92CA6">
        <w:rPr>
          <w:rFonts w:eastAsia="Times New Roman"/>
          <w:lang w:eastAsia="ru-RU"/>
        </w:rPr>
        <w:t xml:space="preserve"> «Ночь искусств в музее»</w:t>
      </w:r>
      <w:r w:rsidR="00351A46" w:rsidRPr="00A92CA6">
        <w:rPr>
          <w:rFonts w:eastAsia="Times New Roman"/>
          <w:lang w:eastAsia="ru-RU"/>
        </w:rPr>
        <w:t>, «Ночь  в музее»</w:t>
      </w:r>
      <w:r w:rsidR="0080662B" w:rsidRPr="00A92CA6">
        <w:rPr>
          <w:rFonts w:eastAsia="Times New Roman"/>
          <w:lang w:eastAsia="ru-RU"/>
        </w:rPr>
        <w:t xml:space="preserve">, </w:t>
      </w:r>
      <w:r w:rsidR="00351A46" w:rsidRPr="00A92CA6">
        <w:rPr>
          <w:rFonts w:eastAsia="Times New Roman"/>
          <w:lang w:eastAsia="ru-RU"/>
        </w:rPr>
        <w:t>которые</w:t>
      </w:r>
      <w:r w:rsidR="004215BE" w:rsidRPr="00A92CA6">
        <w:rPr>
          <w:rFonts w:eastAsia="Times New Roman"/>
          <w:lang w:eastAsia="ru-RU"/>
        </w:rPr>
        <w:t>,</w:t>
      </w:r>
      <w:r w:rsidR="00351A46" w:rsidRPr="00A92CA6">
        <w:rPr>
          <w:rFonts w:eastAsia="Times New Roman"/>
          <w:lang w:eastAsia="ru-RU"/>
        </w:rPr>
        <w:t xml:space="preserve">  как правило</w:t>
      </w:r>
      <w:r w:rsidR="0095533B" w:rsidRPr="00A92CA6">
        <w:rPr>
          <w:rFonts w:eastAsia="Times New Roman"/>
          <w:lang w:eastAsia="ru-RU"/>
        </w:rPr>
        <w:t>,</w:t>
      </w:r>
      <w:r w:rsidR="00351A46" w:rsidRPr="00A92CA6">
        <w:rPr>
          <w:rFonts w:eastAsia="Times New Roman"/>
          <w:lang w:eastAsia="ru-RU"/>
        </w:rPr>
        <w:t xml:space="preserve"> привлекают новых посетителей.</w:t>
      </w:r>
      <w:r w:rsidR="00EB1ADA" w:rsidRPr="00A92CA6">
        <w:rPr>
          <w:rFonts w:eastAsia="Times New Roman"/>
          <w:lang w:eastAsia="ru-RU"/>
        </w:rPr>
        <w:t xml:space="preserve"> Игры-квест, помогающие в интересной игровой форме ознакомить жителей города с памятными и значимыми событиями, достопримечательностями города также представляют большой интерес для посетителей.</w:t>
      </w:r>
      <w:r w:rsidR="0080662B" w:rsidRPr="00A92CA6">
        <w:rPr>
          <w:rFonts w:eastAsia="Times New Roman"/>
          <w:lang w:eastAsia="ru-RU"/>
        </w:rPr>
        <w:t xml:space="preserve"> Эффективность занятий и экскурсий повышается благодаря соединению богатых материалами экспозиций</w:t>
      </w:r>
      <w:r w:rsidR="0095533B" w:rsidRPr="00A92CA6">
        <w:rPr>
          <w:rFonts w:eastAsia="Times New Roman"/>
          <w:lang w:eastAsia="ru-RU"/>
        </w:rPr>
        <w:t xml:space="preserve"> и использованию видеофильмов </w:t>
      </w:r>
      <w:r w:rsidR="0080662B" w:rsidRPr="00A92CA6">
        <w:rPr>
          <w:rFonts w:eastAsia="Times New Roman"/>
          <w:lang w:eastAsia="ru-RU"/>
        </w:rPr>
        <w:t>по истории города и рай</w:t>
      </w:r>
      <w:r w:rsidR="0095533B" w:rsidRPr="00A92CA6">
        <w:rPr>
          <w:rFonts w:eastAsia="Times New Roman"/>
          <w:lang w:eastAsia="ru-RU"/>
        </w:rPr>
        <w:t xml:space="preserve">она. </w:t>
      </w:r>
      <w:r w:rsidR="0080662B" w:rsidRPr="00A92CA6">
        <w:rPr>
          <w:rFonts w:eastAsia="Times New Roman"/>
          <w:lang w:eastAsia="ru-RU"/>
        </w:rPr>
        <w:t>Разработаны  и написаны сценарии ко вс</w:t>
      </w:r>
      <w:r w:rsidR="00EB1ADA" w:rsidRPr="00A92CA6">
        <w:rPr>
          <w:rFonts w:eastAsia="Times New Roman"/>
          <w:lang w:eastAsia="ru-RU"/>
        </w:rPr>
        <w:t>ем мероприятиям, проводимым краеведческим музеем для разных</w:t>
      </w:r>
      <w:r w:rsidR="0080662B" w:rsidRPr="00A92CA6">
        <w:rPr>
          <w:rFonts w:eastAsia="Times New Roman"/>
          <w:lang w:eastAsia="ru-RU"/>
        </w:rPr>
        <w:t xml:space="preserve"> категорий населения. Проведение театрализованных занятий и мероприятий повышают интерес посетителей, о чем свидетельствуют оставленные пожелания в «Книге отзывов музея».</w:t>
      </w:r>
    </w:p>
    <w:p w:rsidR="008743A5" w:rsidRPr="00A92CA6" w:rsidRDefault="008743A5" w:rsidP="00855214">
      <w:pPr>
        <w:spacing w:line="276" w:lineRule="auto"/>
        <w:ind w:firstLine="708"/>
        <w:jc w:val="both"/>
        <w:rPr>
          <w:rFonts w:eastAsia="Times New Roman"/>
          <w:lang w:eastAsia="ru-RU"/>
        </w:rPr>
      </w:pPr>
    </w:p>
    <w:p w:rsidR="008743A5" w:rsidRPr="00A92CA6" w:rsidRDefault="008743A5" w:rsidP="008743A5">
      <w:pPr>
        <w:spacing w:line="276" w:lineRule="auto"/>
        <w:jc w:val="center"/>
        <w:rPr>
          <w:rFonts w:eastAsia="Times New Roman"/>
          <w:i/>
          <w:lang w:eastAsia="ru-RU"/>
        </w:rPr>
      </w:pPr>
      <w:r w:rsidRPr="00A92CA6">
        <w:rPr>
          <w:rFonts w:eastAsia="Times New Roman"/>
          <w:i/>
          <w:lang w:eastAsia="ru-RU"/>
        </w:rPr>
        <w:t>Проблемы, планы и задачи музея:</w:t>
      </w:r>
    </w:p>
    <w:p w:rsidR="00D137BF" w:rsidRPr="00A92CA6" w:rsidRDefault="00D137BF" w:rsidP="00D137BF">
      <w:pPr>
        <w:spacing w:line="276" w:lineRule="auto"/>
        <w:ind w:firstLine="708"/>
        <w:jc w:val="both"/>
        <w:rPr>
          <w:rFonts w:eastAsia="Times New Roman"/>
          <w:lang w:eastAsia="ru-RU"/>
        </w:rPr>
      </w:pPr>
      <w:r w:rsidRPr="00A92CA6">
        <w:rPr>
          <w:rFonts w:eastAsia="Times New Roman"/>
          <w:lang w:eastAsia="ru-RU"/>
        </w:rPr>
        <w:t>Основными проблемами деятельности музея являются:</w:t>
      </w:r>
    </w:p>
    <w:p w:rsidR="00D137BF" w:rsidRPr="00A92CA6" w:rsidRDefault="00D137BF" w:rsidP="00D137BF">
      <w:pPr>
        <w:pStyle w:val="a6"/>
        <w:numPr>
          <w:ilvl w:val="0"/>
          <w:numId w:val="2"/>
        </w:numPr>
        <w:spacing w:line="276" w:lineRule="auto"/>
        <w:ind w:left="0" w:firstLine="709"/>
        <w:jc w:val="both"/>
        <w:rPr>
          <w:rFonts w:eastAsia="Times New Roman"/>
          <w:lang w:eastAsia="ru-RU"/>
        </w:rPr>
      </w:pPr>
      <w:r w:rsidRPr="00A92CA6">
        <w:rPr>
          <w:rFonts w:eastAsia="Times New Roman"/>
          <w:lang w:eastAsia="ru-RU"/>
        </w:rPr>
        <w:t>Недостаточное количество выставочных площадей и площадей для фондохранилища и дофондового хранения экспонатов, отсутствие финансовой возможности проведения работ по ограждению территории музея (на протяжении 5 лет).</w:t>
      </w:r>
    </w:p>
    <w:p w:rsidR="00D137BF" w:rsidRPr="00A92CA6" w:rsidRDefault="00D137BF" w:rsidP="00D137BF">
      <w:pPr>
        <w:pStyle w:val="a6"/>
        <w:numPr>
          <w:ilvl w:val="0"/>
          <w:numId w:val="2"/>
        </w:numPr>
        <w:spacing w:line="276" w:lineRule="auto"/>
        <w:ind w:left="0" w:firstLine="709"/>
        <w:jc w:val="both"/>
        <w:rPr>
          <w:rFonts w:eastAsia="Times New Roman"/>
          <w:lang w:eastAsia="ru-RU"/>
        </w:rPr>
      </w:pPr>
      <w:r w:rsidRPr="00A92CA6">
        <w:rPr>
          <w:rFonts w:eastAsia="Times New Roman"/>
          <w:lang w:eastAsia="ru-RU"/>
        </w:rPr>
        <w:t>Износ оргтехники и компьютеров, обновление технического оснащения музея идет за счет бюджета МО малыми темпами, финансирование защищенных статей не позволяет выделить достаточно средств на обновление компьютерной базы музея, что ставит под угрозу реализацию государственной программы регистрации музейных предметов и коллекций в Госкаталоге РФ.</w:t>
      </w:r>
    </w:p>
    <w:p w:rsidR="00D137BF" w:rsidRPr="00A92CA6" w:rsidRDefault="00D137BF" w:rsidP="00D137BF">
      <w:pPr>
        <w:pStyle w:val="a6"/>
        <w:numPr>
          <w:ilvl w:val="0"/>
          <w:numId w:val="2"/>
        </w:numPr>
        <w:spacing w:line="276" w:lineRule="auto"/>
        <w:ind w:left="0" w:firstLine="709"/>
        <w:jc w:val="both"/>
        <w:rPr>
          <w:rFonts w:eastAsia="Times New Roman"/>
          <w:lang w:eastAsia="ru-RU"/>
        </w:rPr>
      </w:pPr>
      <w:r w:rsidRPr="00A92CA6">
        <w:rPr>
          <w:rFonts w:eastAsia="Times New Roman"/>
          <w:lang w:eastAsia="ru-RU"/>
        </w:rPr>
        <w:t xml:space="preserve">Переквалификация творческих кадров, имеющих базовое педагогическое образование на сегодня возможна только за свой счет и в дистанционном режиме. На территории </w:t>
      </w:r>
      <w:r w:rsidRPr="00A92CA6">
        <w:rPr>
          <w:rFonts w:eastAsia="Times New Roman"/>
          <w:lang w:val="en-US" w:eastAsia="ru-RU"/>
        </w:rPr>
        <w:t>C</w:t>
      </w:r>
      <w:r w:rsidRPr="00A92CA6">
        <w:rPr>
          <w:rFonts w:eastAsia="Times New Roman"/>
          <w:lang w:eastAsia="ru-RU"/>
        </w:rPr>
        <w:t>ибирского Федерального округа отсутствуют учебные заведения по подготовке специалистов музейного дела.</w:t>
      </w:r>
    </w:p>
    <w:p w:rsidR="00D137BF" w:rsidRPr="00A92CA6" w:rsidRDefault="00D137BF" w:rsidP="00D137BF">
      <w:pPr>
        <w:pStyle w:val="a6"/>
        <w:spacing w:line="276" w:lineRule="auto"/>
        <w:ind w:left="0" w:firstLine="709"/>
        <w:jc w:val="both"/>
        <w:rPr>
          <w:rFonts w:eastAsia="Times New Roman"/>
          <w:lang w:eastAsia="ru-RU"/>
        </w:rPr>
      </w:pPr>
      <w:r w:rsidRPr="00A92CA6">
        <w:rPr>
          <w:rFonts w:eastAsia="Times New Roman"/>
          <w:lang w:eastAsia="ru-RU"/>
        </w:rPr>
        <w:t xml:space="preserve">4. Финансирование учреждений культуры в целом и музея в частности идет за счет бюджета МО, однако перед руководителями учреждений ставится задача организации деятельности приносящей доход бюджету. В связи с этим ряд услуг музея предоставляется на платной основе, к чему не готовы посетители музея, которые по - прежнему воспринимают его, как учреждение, работающее бесплатно. В Уставе учреждения из 14 платных услуг, стабильно работают только три, большинство мероприятий музея (выставки – встречи, встречи к памятным и знаменательным датам) проводятся бесплатно. </w:t>
      </w:r>
    </w:p>
    <w:p w:rsidR="00D137BF" w:rsidRPr="00A92CA6" w:rsidRDefault="00D137BF" w:rsidP="008743A5">
      <w:pPr>
        <w:spacing w:line="276" w:lineRule="auto"/>
        <w:jc w:val="center"/>
        <w:rPr>
          <w:rFonts w:eastAsia="Times New Roman"/>
          <w:i/>
          <w:lang w:eastAsia="ru-RU"/>
        </w:rPr>
      </w:pPr>
    </w:p>
    <w:p w:rsidR="008743A5" w:rsidRPr="00A92CA6" w:rsidRDefault="008743A5" w:rsidP="008743A5">
      <w:pPr>
        <w:spacing w:line="276" w:lineRule="auto"/>
        <w:ind w:firstLine="708"/>
        <w:jc w:val="both"/>
        <w:rPr>
          <w:rFonts w:eastAsia="Times New Roman"/>
          <w:lang w:eastAsia="ru-RU"/>
        </w:rPr>
      </w:pPr>
      <w:r w:rsidRPr="00A92CA6">
        <w:rPr>
          <w:rFonts w:eastAsia="Times New Roman"/>
          <w:lang w:eastAsia="ru-RU"/>
        </w:rPr>
        <w:t>Сотрудники музея находятся в постоянном поиске новых форм и видов деятельности, т.к. музей способен не только сохранять материальные ценности культуры различных эпох, но и является живым активнодействующим организмом.</w:t>
      </w:r>
    </w:p>
    <w:p w:rsidR="008743A5" w:rsidRPr="00A92CA6" w:rsidRDefault="008743A5" w:rsidP="008743A5">
      <w:pPr>
        <w:spacing w:line="276" w:lineRule="auto"/>
        <w:ind w:firstLine="708"/>
        <w:jc w:val="both"/>
        <w:rPr>
          <w:rFonts w:eastAsia="Times New Roman"/>
          <w:lang w:eastAsia="ru-RU"/>
        </w:rPr>
      </w:pPr>
      <w:r w:rsidRPr="00A92CA6">
        <w:rPr>
          <w:rFonts w:eastAsia="Times New Roman"/>
          <w:lang w:eastAsia="ru-RU"/>
        </w:rPr>
        <w:t>Музей стр</w:t>
      </w:r>
      <w:r w:rsidR="00B22455" w:rsidRPr="00A92CA6">
        <w:rPr>
          <w:rFonts w:eastAsia="Times New Roman"/>
          <w:lang w:eastAsia="ru-RU"/>
        </w:rPr>
        <w:t>емится к сохранению и воспитанию</w:t>
      </w:r>
      <w:r w:rsidRPr="00A92CA6">
        <w:rPr>
          <w:rFonts w:eastAsia="Times New Roman"/>
          <w:lang w:eastAsia="ru-RU"/>
        </w:rPr>
        <w:t xml:space="preserve"> такого посетителя, для которого посещение музея стало бы потребностью и привычкой, и много для этого делает, н</w:t>
      </w:r>
      <w:r w:rsidR="00993DFD" w:rsidRPr="00A92CA6">
        <w:rPr>
          <w:rFonts w:eastAsia="Times New Roman"/>
          <w:lang w:eastAsia="ru-RU"/>
        </w:rPr>
        <w:t xml:space="preserve">о </w:t>
      </w:r>
      <w:r w:rsidRPr="00A92CA6">
        <w:rPr>
          <w:rFonts w:eastAsia="Times New Roman"/>
          <w:lang w:eastAsia="ru-RU"/>
        </w:rPr>
        <w:t xml:space="preserve">основой всей </w:t>
      </w:r>
      <w:r w:rsidRPr="00A92CA6">
        <w:rPr>
          <w:rFonts w:eastAsia="Times New Roman"/>
          <w:lang w:eastAsia="ru-RU"/>
        </w:rPr>
        <w:lastRenderedPageBreak/>
        <w:t xml:space="preserve">деятельности музея является фондовая работа, которая предполагает высокий уровень культуры хранения музейных коллекций, современное техническое и информационное оснащение. </w:t>
      </w:r>
    </w:p>
    <w:p w:rsidR="008743A5" w:rsidRPr="00A92CA6" w:rsidRDefault="00993DFD" w:rsidP="008743A5">
      <w:pPr>
        <w:spacing w:line="276" w:lineRule="auto"/>
        <w:ind w:firstLine="708"/>
        <w:jc w:val="both"/>
        <w:rPr>
          <w:rFonts w:eastAsia="Times New Roman"/>
          <w:lang w:eastAsia="ru-RU"/>
        </w:rPr>
      </w:pPr>
      <w:r w:rsidRPr="00A92CA6">
        <w:rPr>
          <w:rFonts w:eastAsia="Times New Roman"/>
          <w:lang w:eastAsia="ru-RU"/>
        </w:rPr>
        <w:t>Поэтому музей ставит перед собой такие задачи</w:t>
      </w:r>
      <w:r w:rsidR="008743A5" w:rsidRPr="00A92CA6">
        <w:rPr>
          <w:rFonts w:eastAsia="Times New Roman"/>
          <w:lang w:eastAsia="ru-RU"/>
        </w:rPr>
        <w:t>:</w:t>
      </w:r>
    </w:p>
    <w:p w:rsidR="008743A5" w:rsidRPr="00A92CA6" w:rsidRDefault="008743A5" w:rsidP="00993DFD">
      <w:pPr>
        <w:spacing w:line="276" w:lineRule="auto"/>
        <w:ind w:firstLine="708"/>
        <w:jc w:val="both"/>
        <w:rPr>
          <w:rFonts w:eastAsia="Times New Roman"/>
          <w:lang w:eastAsia="ru-RU"/>
        </w:rPr>
      </w:pPr>
      <w:r w:rsidRPr="00A92CA6">
        <w:rPr>
          <w:rFonts w:eastAsia="Times New Roman"/>
          <w:lang w:eastAsia="ru-RU"/>
        </w:rPr>
        <w:t>1. Создание адаптированного электронного каталога музейных предметов и музейных коллекций зарегистрированных в книгах поступлений основного и вспомогательного фондов.</w:t>
      </w:r>
    </w:p>
    <w:p w:rsidR="008743A5" w:rsidRPr="00A92CA6" w:rsidRDefault="008743A5" w:rsidP="00993DFD">
      <w:pPr>
        <w:spacing w:line="276" w:lineRule="auto"/>
        <w:ind w:firstLine="708"/>
        <w:jc w:val="both"/>
        <w:rPr>
          <w:rFonts w:eastAsia="Times New Roman"/>
          <w:lang w:eastAsia="ru-RU"/>
        </w:rPr>
      </w:pPr>
      <w:r w:rsidRPr="00A92CA6">
        <w:rPr>
          <w:rFonts w:eastAsia="Times New Roman"/>
          <w:lang w:eastAsia="ru-RU"/>
        </w:rPr>
        <w:t>2. В течении трёх лет завершить регистрацию музейных предметов и музейных коллекций в Госкаталоге согласно плану-графику.</w:t>
      </w:r>
    </w:p>
    <w:p w:rsidR="00993DFD" w:rsidRPr="00A92CA6" w:rsidRDefault="008743A5" w:rsidP="00993DFD">
      <w:pPr>
        <w:spacing w:line="276" w:lineRule="auto"/>
        <w:ind w:firstLine="708"/>
        <w:jc w:val="both"/>
      </w:pPr>
      <w:r w:rsidRPr="00A92CA6">
        <w:rPr>
          <w:rFonts w:eastAsia="Times New Roman"/>
          <w:lang w:eastAsia="ru-RU"/>
        </w:rPr>
        <w:t xml:space="preserve">3. </w:t>
      </w:r>
      <w:r w:rsidR="00D137BF" w:rsidRPr="00A92CA6">
        <w:rPr>
          <w:rFonts w:eastAsia="Times New Roman"/>
          <w:lang w:eastAsia="ru-RU"/>
        </w:rPr>
        <w:t>В рамках перехода с 2020 года на про</w:t>
      </w:r>
      <w:r w:rsidR="00B22455" w:rsidRPr="00A92CA6">
        <w:rPr>
          <w:rFonts w:eastAsia="Times New Roman"/>
          <w:lang w:eastAsia="ru-RU"/>
        </w:rPr>
        <w:t>ф</w:t>
      </w:r>
      <w:r w:rsidR="00D137BF" w:rsidRPr="00A92CA6">
        <w:rPr>
          <w:rFonts w:eastAsia="Times New Roman"/>
          <w:lang w:eastAsia="ru-RU"/>
        </w:rPr>
        <w:t>стандарты, пересмотреть подходы к функциональным обязанностям сотрудников в части ведения научно - исследовательской работы по направлениям, прохож</w:t>
      </w:r>
      <w:r w:rsidR="00B22455" w:rsidRPr="00A92CA6">
        <w:rPr>
          <w:rFonts w:eastAsia="Times New Roman"/>
          <w:lang w:eastAsia="ru-RU"/>
        </w:rPr>
        <w:t>дения переподготовки и повышенияы</w:t>
      </w:r>
      <w:bookmarkStart w:id="0" w:name="_GoBack"/>
      <w:bookmarkEnd w:id="0"/>
      <w:r w:rsidR="00D137BF" w:rsidRPr="00A92CA6">
        <w:rPr>
          <w:rFonts w:eastAsia="Times New Roman"/>
          <w:lang w:eastAsia="ru-RU"/>
        </w:rPr>
        <w:t xml:space="preserve"> квалификации специалистов.</w:t>
      </w:r>
      <w:r w:rsidR="00993DFD" w:rsidRPr="00A92CA6">
        <w:t xml:space="preserve"> </w:t>
      </w:r>
    </w:p>
    <w:p w:rsidR="0095533B" w:rsidRPr="00A92CA6" w:rsidRDefault="00D137BF" w:rsidP="00993DFD">
      <w:pPr>
        <w:spacing w:line="276" w:lineRule="auto"/>
        <w:ind w:firstLine="708"/>
        <w:jc w:val="both"/>
        <w:rPr>
          <w:rFonts w:eastAsia="Times New Roman"/>
          <w:lang w:eastAsia="ru-RU"/>
        </w:rPr>
      </w:pPr>
      <w:r w:rsidRPr="00A92CA6">
        <w:rPr>
          <w:rFonts w:eastAsia="Times New Roman"/>
          <w:lang w:eastAsia="ru-RU"/>
        </w:rPr>
        <w:t>4</w:t>
      </w:r>
      <w:r w:rsidR="008743A5" w:rsidRPr="00A92CA6">
        <w:rPr>
          <w:rFonts w:eastAsia="Times New Roman"/>
          <w:lang w:eastAsia="ru-RU"/>
        </w:rPr>
        <w:t xml:space="preserve">.  </w:t>
      </w:r>
      <w:r w:rsidRPr="00A92CA6">
        <w:rPr>
          <w:rFonts w:eastAsia="Times New Roman"/>
          <w:lang w:eastAsia="ru-RU"/>
        </w:rPr>
        <w:t xml:space="preserve">Приобретение интерактивного сенсорного киоска, уникального </w:t>
      </w:r>
      <w:r w:rsidRPr="00A92CA6">
        <w:t>устройства, позволяющего обеспечить максимально оперативный и предельно удобный доступ к различной информации.</w:t>
      </w:r>
    </w:p>
    <w:p w:rsidR="00D137BF" w:rsidRPr="00A92CA6" w:rsidRDefault="00D137BF" w:rsidP="00A7104B">
      <w:pPr>
        <w:spacing w:line="276" w:lineRule="auto"/>
        <w:ind w:firstLine="708"/>
        <w:jc w:val="both"/>
        <w:rPr>
          <w:rFonts w:eastAsia="Times New Roman"/>
          <w:lang w:eastAsia="ru-RU"/>
        </w:rPr>
      </w:pPr>
    </w:p>
    <w:p w:rsidR="00E9358A" w:rsidRPr="00A92CA6" w:rsidRDefault="00E9358A" w:rsidP="00A7104B">
      <w:pPr>
        <w:spacing w:line="276" w:lineRule="auto"/>
        <w:ind w:firstLine="708"/>
        <w:jc w:val="both"/>
        <w:rPr>
          <w:rFonts w:eastAsia="Times New Roman"/>
          <w:lang w:eastAsia="ru-RU"/>
        </w:rPr>
      </w:pPr>
      <w:r w:rsidRPr="00A92CA6">
        <w:rPr>
          <w:rFonts w:eastAsia="Times New Roman"/>
          <w:lang w:eastAsia="ru-RU"/>
        </w:rPr>
        <w:t>Начальник                                                                         Е.Н.Степанова</w:t>
      </w:r>
    </w:p>
    <w:p w:rsidR="00E9358A" w:rsidRPr="00A92CA6" w:rsidRDefault="00E9358A" w:rsidP="00A7104B">
      <w:pPr>
        <w:spacing w:line="276" w:lineRule="auto"/>
        <w:ind w:firstLine="708"/>
        <w:jc w:val="both"/>
        <w:rPr>
          <w:rFonts w:eastAsia="Times New Roman"/>
          <w:lang w:eastAsia="ru-RU"/>
        </w:rPr>
      </w:pPr>
    </w:p>
    <w:p w:rsidR="00E9358A" w:rsidRPr="00A92CA6" w:rsidRDefault="00E9358A" w:rsidP="00A7104B">
      <w:pPr>
        <w:spacing w:line="276" w:lineRule="auto"/>
        <w:ind w:firstLine="708"/>
        <w:jc w:val="both"/>
        <w:rPr>
          <w:rFonts w:eastAsia="Times New Roman"/>
          <w:lang w:eastAsia="ru-RU"/>
        </w:rPr>
      </w:pPr>
      <w:r w:rsidRPr="00A92CA6">
        <w:rPr>
          <w:rFonts w:eastAsia="Times New Roman"/>
          <w:lang w:eastAsia="ru-RU"/>
        </w:rPr>
        <w:t>27.09.2019 года</w:t>
      </w:r>
    </w:p>
    <w:sectPr w:rsidR="00E9358A" w:rsidRPr="00A92CA6" w:rsidSect="00A92CA6">
      <w:footerReference w:type="default" r:id="rId8"/>
      <w:pgSz w:w="11906" w:h="16838"/>
      <w:pgMar w:top="709"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B7" w:rsidRDefault="00A371B7" w:rsidP="00454369">
      <w:r>
        <w:separator/>
      </w:r>
    </w:p>
  </w:endnote>
  <w:endnote w:type="continuationSeparator" w:id="0">
    <w:p w:rsidR="00A371B7" w:rsidRDefault="00A371B7" w:rsidP="0045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234352"/>
      <w:docPartObj>
        <w:docPartGallery w:val="Page Numbers (Bottom of Page)"/>
        <w:docPartUnique/>
      </w:docPartObj>
    </w:sdtPr>
    <w:sdtContent>
      <w:p w:rsidR="00454369" w:rsidRDefault="0055485C">
        <w:pPr>
          <w:pStyle w:val="a9"/>
          <w:jc w:val="center"/>
        </w:pPr>
        <w:r>
          <w:fldChar w:fldCharType="begin"/>
        </w:r>
        <w:r w:rsidR="00454369">
          <w:instrText>PAGE   \* MERGEFORMAT</w:instrText>
        </w:r>
        <w:r>
          <w:fldChar w:fldCharType="separate"/>
        </w:r>
        <w:r w:rsidR="00A92CA6">
          <w:rPr>
            <w:noProof/>
          </w:rPr>
          <w:t>6</w:t>
        </w:r>
        <w:r>
          <w:fldChar w:fldCharType="end"/>
        </w:r>
      </w:p>
    </w:sdtContent>
  </w:sdt>
  <w:p w:rsidR="00454369" w:rsidRDefault="004543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B7" w:rsidRDefault="00A371B7" w:rsidP="00454369">
      <w:r>
        <w:separator/>
      </w:r>
    </w:p>
  </w:footnote>
  <w:footnote w:type="continuationSeparator" w:id="0">
    <w:p w:rsidR="00A371B7" w:rsidRDefault="00A371B7" w:rsidP="00454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5FC2"/>
    <w:multiLevelType w:val="hybridMultilevel"/>
    <w:tmpl w:val="ABE4FFA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nsid w:val="4F512F01"/>
    <w:multiLevelType w:val="hybridMultilevel"/>
    <w:tmpl w:val="3544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A6897"/>
    <w:multiLevelType w:val="hybridMultilevel"/>
    <w:tmpl w:val="2CFC4D98"/>
    <w:lvl w:ilvl="0" w:tplc="679C3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F08B4"/>
    <w:rsid w:val="0005505D"/>
    <w:rsid w:val="00085044"/>
    <w:rsid w:val="0009676C"/>
    <w:rsid w:val="000A279E"/>
    <w:rsid w:val="00122BF4"/>
    <w:rsid w:val="001459AE"/>
    <w:rsid w:val="00180936"/>
    <w:rsid w:val="00256140"/>
    <w:rsid w:val="002845D6"/>
    <w:rsid w:val="002B5275"/>
    <w:rsid w:val="00351A46"/>
    <w:rsid w:val="00385EE2"/>
    <w:rsid w:val="0039186D"/>
    <w:rsid w:val="00397DAD"/>
    <w:rsid w:val="003B5164"/>
    <w:rsid w:val="003B67C5"/>
    <w:rsid w:val="003C186B"/>
    <w:rsid w:val="003F4797"/>
    <w:rsid w:val="004215BE"/>
    <w:rsid w:val="00445EA0"/>
    <w:rsid w:val="00454369"/>
    <w:rsid w:val="00454F05"/>
    <w:rsid w:val="00475405"/>
    <w:rsid w:val="00491826"/>
    <w:rsid w:val="004B0F46"/>
    <w:rsid w:val="0050156F"/>
    <w:rsid w:val="00505E37"/>
    <w:rsid w:val="00511219"/>
    <w:rsid w:val="00520AA6"/>
    <w:rsid w:val="00530EFF"/>
    <w:rsid w:val="00537D80"/>
    <w:rsid w:val="0055485C"/>
    <w:rsid w:val="005766BD"/>
    <w:rsid w:val="00591760"/>
    <w:rsid w:val="00653606"/>
    <w:rsid w:val="006567E7"/>
    <w:rsid w:val="0068120B"/>
    <w:rsid w:val="006A4806"/>
    <w:rsid w:val="006A6CED"/>
    <w:rsid w:val="006B2306"/>
    <w:rsid w:val="006B29C6"/>
    <w:rsid w:val="00705AB1"/>
    <w:rsid w:val="00710465"/>
    <w:rsid w:val="007D2220"/>
    <w:rsid w:val="0080662B"/>
    <w:rsid w:val="00813872"/>
    <w:rsid w:val="00820E9F"/>
    <w:rsid w:val="0082430C"/>
    <w:rsid w:val="00855214"/>
    <w:rsid w:val="008572EC"/>
    <w:rsid w:val="008743A5"/>
    <w:rsid w:val="009359F8"/>
    <w:rsid w:val="00951E2B"/>
    <w:rsid w:val="0095533B"/>
    <w:rsid w:val="00957F89"/>
    <w:rsid w:val="00961762"/>
    <w:rsid w:val="0099342F"/>
    <w:rsid w:val="00993DFD"/>
    <w:rsid w:val="009C68D3"/>
    <w:rsid w:val="009F08B4"/>
    <w:rsid w:val="00A371B7"/>
    <w:rsid w:val="00A408BB"/>
    <w:rsid w:val="00A7104B"/>
    <w:rsid w:val="00A90604"/>
    <w:rsid w:val="00A92CA6"/>
    <w:rsid w:val="00A965A1"/>
    <w:rsid w:val="00B01510"/>
    <w:rsid w:val="00B0696E"/>
    <w:rsid w:val="00B15FAA"/>
    <w:rsid w:val="00B22455"/>
    <w:rsid w:val="00B44221"/>
    <w:rsid w:val="00B96615"/>
    <w:rsid w:val="00BA038A"/>
    <w:rsid w:val="00C261E7"/>
    <w:rsid w:val="00C40B10"/>
    <w:rsid w:val="00CA00B6"/>
    <w:rsid w:val="00CE5520"/>
    <w:rsid w:val="00D137BF"/>
    <w:rsid w:val="00D16017"/>
    <w:rsid w:val="00D47D23"/>
    <w:rsid w:val="00D51C10"/>
    <w:rsid w:val="00D555F2"/>
    <w:rsid w:val="00D5658C"/>
    <w:rsid w:val="00D71B3D"/>
    <w:rsid w:val="00D9089F"/>
    <w:rsid w:val="00DB066B"/>
    <w:rsid w:val="00DD2C71"/>
    <w:rsid w:val="00E351C9"/>
    <w:rsid w:val="00E45B7C"/>
    <w:rsid w:val="00E60BEE"/>
    <w:rsid w:val="00E9358A"/>
    <w:rsid w:val="00EB1ADA"/>
    <w:rsid w:val="00EC5980"/>
    <w:rsid w:val="00EE182A"/>
    <w:rsid w:val="00EE61B8"/>
    <w:rsid w:val="00F23449"/>
    <w:rsid w:val="00F31E7A"/>
    <w:rsid w:val="00F459F5"/>
    <w:rsid w:val="00F55D8E"/>
    <w:rsid w:val="00F91A8B"/>
    <w:rsid w:val="00FB1F9E"/>
    <w:rsid w:val="00FC3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8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186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533B"/>
    <w:rPr>
      <w:rFonts w:ascii="Tahoma" w:hAnsi="Tahoma" w:cs="Tahoma"/>
      <w:sz w:val="16"/>
      <w:szCs w:val="16"/>
    </w:rPr>
  </w:style>
  <w:style w:type="character" w:customStyle="1" w:styleId="a5">
    <w:name w:val="Текст выноски Знак"/>
    <w:basedOn w:val="a0"/>
    <w:link w:val="a4"/>
    <w:uiPriority w:val="99"/>
    <w:semiHidden/>
    <w:rsid w:val="0095533B"/>
    <w:rPr>
      <w:rFonts w:ascii="Tahoma" w:eastAsia="SimSun" w:hAnsi="Tahoma" w:cs="Tahoma"/>
      <w:sz w:val="16"/>
      <w:szCs w:val="16"/>
      <w:lang w:eastAsia="zh-CN"/>
    </w:rPr>
  </w:style>
  <w:style w:type="paragraph" w:styleId="a6">
    <w:name w:val="List Paragraph"/>
    <w:basedOn w:val="a"/>
    <w:uiPriority w:val="34"/>
    <w:qFormat/>
    <w:rsid w:val="0095533B"/>
    <w:pPr>
      <w:ind w:left="720"/>
      <w:contextualSpacing/>
    </w:pPr>
  </w:style>
  <w:style w:type="paragraph" w:styleId="a7">
    <w:name w:val="header"/>
    <w:basedOn w:val="a"/>
    <w:link w:val="a8"/>
    <w:uiPriority w:val="99"/>
    <w:unhideWhenUsed/>
    <w:rsid w:val="00454369"/>
    <w:pPr>
      <w:tabs>
        <w:tab w:val="center" w:pos="4677"/>
        <w:tab w:val="right" w:pos="9355"/>
      </w:tabs>
    </w:pPr>
  </w:style>
  <w:style w:type="character" w:customStyle="1" w:styleId="a8">
    <w:name w:val="Верхний колонтитул Знак"/>
    <w:basedOn w:val="a0"/>
    <w:link w:val="a7"/>
    <w:uiPriority w:val="99"/>
    <w:rsid w:val="00454369"/>
    <w:rPr>
      <w:rFonts w:ascii="Times New Roman" w:eastAsia="SimSun" w:hAnsi="Times New Roman" w:cs="Times New Roman"/>
      <w:sz w:val="24"/>
      <w:szCs w:val="24"/>
      <w:lang w:eastAsia="zh-CN"/>
    </w:rPr>
  </w:style>
  <w:style w:type="paragraph" w:styleId="a9">
    <w:name w:val="footer"/>
    <w:basedOn w:val="a"/>
    <w:link w:val="aa"/>
    <w:uiPriority w:val="99"/>
    <w:unhideWhenUsed/>
    <w:rsid w:val="00454369"/>
    <w:pPr>
      <w:tabs>
        <w:tab w:val="center" w:pos="4677"/>
        <w:tab w:val="right" w:pos="9355"/>
      </w:tabs>
    </w:pPr>
  </w:style>
  <w:style w:type="character" w:customStyle="1" w:styleId="aa">
    <w:name w:val="Нижний колонтитул Знак"/>
    <w:basedOn w:val="a0"/>
    <w:link w:val="a9"/>
    <w:uiPriority w:val="99"/>
    <w:rsid w:val="00454369"/>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B079-E431-4BF6-9479-81043DB7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6</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Типаева Марина Альбертовна</cp:lastModifiedBy>
  <cp:revision>38</cp:revision>
  <cp:lastPrinted>2018-09-27T07:00:00Z</cp:lastPrinted>
  <dcterms:created xsi:type="dcterms:W3CDTF">2018-09-20T02:49:00Z</dcterms:created>
  <dcterms:modified xsi:type="dcterms:W3CDTF">2018-10-12T01:30:00Z</dcterms:modified>
</cp:coreProperties>
</file>